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0000001" w14:textId="77777777" w:rsidR="009D470C" w:rsidRDefault="009D470C">
      <w:pPr>
        <w:spacing w:line="240" w:lineRule="auto"/>
        <w:jc w:val="center"/>
        <w:rPr>
          <w:b/>
          <w:sz w:val="28"/>
          <w:szCs w:val="28"/>
        </w:rPr>
      </w:pPr>
      <w:bookmarkStart w:id="0" w:name="_GoBack"/>
      <w:bookmarkEnd w:id="0"/>
    </w:p>
    <w:p w14:paraId="00000002" w14:textId="77777777" w:rsidR="009D470C" w:rsidRDefault="0031656B">
      <w:pPr>
        <w:spacing w:line="360" w:lineRule="auto"/>
        <w:jc w:val="center"/>
        <w:rPr>
          <w:b/>
          <w:sz w:val="28"/>
          <w:szCs w:val="28"/>
        </w:rPr>
      </w:pPr>
      <w:r>
        <w:rPr>
          <w:b/>
          <w:sz w:val="28"/>
          <w:szCs w:val="28"/>
        </w:rPr>
        <w:t>O RECONHECIMENTO PESSOAL E FOTOGRÁFICO: OS LIMITES DA NULIDADE DA PROVA NO PROCESSO PENAL A PARTIR DE DECISÕES DOS TRIBUNAIS SUPERIORES</w:t>
      </w:r>
    </w:p>
    <w:p w14:paraId="00000003" w14:textId="77777777" w:rsidR="009D470C" w:rsidRDefault="009D470C">
      <w:pPr>
        <w:spacing w:line="240" w:lineRule="auto"/>
        <w:jc w:val="center"/>
        <w:rPr>
          <w:b/>
          <w:sz w:val="28"/>
          <w:szCs w:val="28"/>
        </w:rPr>
      </w:pPr>
    </w:p>
    <w:p w14:paraId="00000004" w14:textId="77777777" w:rsidR="009D470C" w:rsidRDefault="0031656B">
      <w:pPr>
        <w:spacing w:line="240" w:lineRule="auto"/>
        <w:jc w:val="right"/>
      </w:pPr>
      <w:r>
        <w:t>Gustavo Santana de Jesus</w:t>
      </w:r>
      <w:r>
        <w:rPr>
          <w:vertAlign w:val="superscript"/>
        </w:rPr>
        <w:footnoteReference w:id="1"/>
      </w:r>
    </w:p>
    <w:p w14:paraId="00000005" w14:textId="77777777" w:rsidR="009D470C" w:rsidRDefault="009D470C"/>
    <w:p w14:paraId="00000006" w14:textId="77777777" w:rsidR="009D470C" w:rsidRDefault="0031656B">
      <w:pPr>
        <w:spacing w:line="240" w:lineRule="auto"/>
        <w:jc w:val="both"/>
        <w:rPr>
          <w:sz w:val="24"/>
          <w:szCs w:val="24"/>
        </w:rPr>
      </w:pPr>
      <w:r>
        <w:rPr>
          <w:b/>
          <w:sz w:val="24"/>
          <w:szCs w:val="24"/>
        </w:rPr>
        <w:t xml:space="preserve">RESUMO: </w:t>
      </w:r>
      <w:r>
        <w:rPr>
          <w:sz w:val="24"/>
          <w:szCs w:val="24"/>
        </w:rPr>
        <w:t>Este artigo examina as nuances e os limites do reconhecimento pessoal e fotográfico em contextos judiciais, analisando decisões dos tribunais superiores. O estudo, mergulha numa análise detalhada de casos relevantes dos tribunais superiores, examinando com</w:t>
      </w:r>
      <w:r>
        <w:rPr>
          <w:sz w:val="24"/>
          <w:szCs w:val="24"/>
        </w:rPr>
        <w:t>o essas cortes abordam questões de identificação e reconhecimento. A pesquisa revela uma tendência dos tribunais em consideração as limitações do reconhecimento humano, enfatizando a necessidade de provas corroborativas. O artigo também discute as implicaç</w:t>
      </w:r>
      <w:r>
        <w:rPr>
          <w:sz w:val="24"/>
          <w:szCs w:val="24"/>
        </w:rPr>
        <w:t>ões dessas decisões para a prática jurídica e sugere diretrizes para melhorar a confiabilidade do reconhecimento pessoal e fotográfico em julgamentos. Conclui-se que, embora o reconhecimento seja uma ferramenta valiosa, a sua aplicação exige cautela e apoi</w:t>
      </w:r>
      <w:r>
        <w:rPr>
          <w:sz w:val="24"/>
          <w:szCs w:val="24"/>
        </w:rPr>
        <w:t>o de outras provas para garantir a justiça e a precisão nas decisões judiciais.</w:t>
      </w:r>
    </w:p>
    <w:p w14:paraId="00000007" w14:textId="77777777" w:rsidR="009D470C" w:rsidRDefault="009D470C">
      <w:pPr>
        <w:spacing w:line="240" w:lineRule="auto"/>
        <w:jc w:val="both"/>
        <w:rPr>
          <w:sz w:val="24"/>
          <w:szCs w:val="24"/>
        </w:rPr>
      </w:pPr>
    </w:p>
    <w:p w14:paraId="00000008" w14:textId="77777777" w:rsidR="009D470C" w:rsidRDefault="0031656B">
      <w:pPr>
        <w:spacing w:line="240" w:lineRule="auto"/>
        <w:jc w:val="both"/>
        <w:rPr>
          <w:b/>
          <w:sz w:val="24"/>
          <w:szCs w:val="24"/>
        </w:rPr>
      </w:pPr>
      <w:r>
        <w:rPr>
          <w:b/>
          <w:sz w:val="24"/>
          <w:szCs w:val="24"/>
        </w:rPr>
        <w:t xml:space="preserve">PALAVRAS-CHAVES: </w:t>
      </w:r>
      <w:r>
        <w:rPr>
          <w:sz w:val="24"/>
          <w:szCs w:val="24"/>
        </w:rPr>
        <w:t>Decisões Judiciais; Evidências Fotográficas; Reconhecimento Pessoal.</w:t>
      </w:r>
    </w:p>
    <w:p w14:paraId="00000009" w14:textId="77777777" w:rsidR="009D470C" w:rsidRDefault="009D470C">
      <w:pPr>
        <w:spacing w:line="240" w:lineRule="auto"/>
        <w:jc w:val="both"/>
        <w:rPr>
          <w:sz w:val="24"/>
          <w:szCs w:val="24"/>
        </w:rPr>
      </w:pPr>
    </w:p>
    <w:p w14:paraId="0000000A" w14:textId="77777777" w:rsidR="009D470C" w:rsidRDefault="0031656B">
      <w:pPr>
        <w:spacing w:line="240" w:lineRule="auto"/>
        <w:jc w:val="both"/>
        <w:rPr>
          <w:sz w:val="24"/>
          <w:szCs w:val="24"/>
        </w:rPr>
      </w:pPr>
      <w:r>
        <w:rPr>
          <w:b/>
          <w:sz w:val="24"/>
          <w:szCs w:val="24"/>
        </w:rPr>
        <w:t xml:space="preserve">ABSTRACT: </w:t>
      </w:r>
      <w:r>
        <w:rPr>
          <w:sz w:val="24"/>
          <w:szCs w:val="24"/>
        </w:rPr>
        <w:t>This article examines the nuances and limits of personal and photographic reco</w:t>
      </w:r>
      <w:r>
        <w:rPr>
          <w:sz w:val="24"/>
          <w:szCs w:val="24"/>
        </w:rPr>
        <w:t xml:space="preserve">gnition in judicial contexts, analyzing decisions from higher courts. The study delves into a detailed analysis of relevant high court cases, examining how these courts approach issues of identification and recognition. The research reveals a tendency for </w:t>
      </w:r>
      <w:r>
        <w:rPr>
          <w:sz w:val="24"/>
          <w:szCs w:val="24"/>
        </w:rPr>
        <w:t>courts to consider the limitations of human recognition, emphasizing the need for corroborative evidence. The article also discusses the implications of these decisions for legal practice and suggests guidelines for improving the reliability of personal an</w:t>
      </w:r>
      <w:r>
        <w:rPr>
          <w:sz w:val="24"/>
          <w:szCs w:val="24"/>
        </w:rPr>
        <w:t>d photographic recognition in trials. It is concluded that, although recognition is a valuable tool, its application requires caution and support from other evidence to guarantee justice and precision in judicial decisions.</w:t>
      </w:r>
    </w:p>
    <w:p w14:paraId="0000000B" w14:textId="77777777" w:rsidR="009D470C" w:rsidRDefault="009D470C">
      <w:pPr>
        <w:spacing w:line="240" w:lineRule="auto"/>
        <w:jc w:val="both"/>
        <w:rPr>
          <w:sz w:val="24"/>
          <w:szCs w:val="24"/>
        </w:rPr>
      </w:pPr>
    </w:p>
    <w:p w14:paraId="0000000C" w14:textId="77777777" w:rsidR="009D470C" w:rsidRDefault="0031656B">
      <w:pPr>
        <w:spacing w:line="240" w:lineRule="auto"/>
        <w:jc w:val="both"/>
        <w:rPr>
          <w:sz w:val="24"/>
          <w:szCs w:val="24"/>
        </w:rPr>
      </w:pPr>
      <w:r>
        <w:rPr>
          <w:b/>
          <w:sz w:val="24"/>
          <w:szCs w:val="24"/>
        </w:rPr>
        <w:t xml:space="preserve">KEYWORDS: </w:t>
      </w:r>
      <w:r>
        <w:rPr>
          <w:sz w:val="24"/>
          <w:szCs w:val="24"/>
        </w:rPr>
        <w:t>Judicial Decisions; P</w:t>
      </w:r>
      <w:r>
        <w:rPr>
          <w:sz w:val="24"/>
          <w:szCs w:val="24"/>
        </w:rPr>
        <w:t>hotographic Evidence; Personal Recognition.</w:t>
      </w:r>
    </w:p>
    <w:p w14:paraId="0000000D" w14:textId="77777777" w:rsidR="009D470C" w:rsidRDefault="009D470C">
      <w:pPr>
        <w:spacing w:line="240" w:lineRule="auto"/>
        <w:jc w:val="both"/>
        <w:rPr>
          <w:sz w:val="24"/>
          <w:szCs w:val="24"/>
          <w:shd w:val="clear" w:color="auto" w:fill="F8F9FA"/>
        </w:rPr>
      </w:pPr>
    </w:p>
    <w:p w14:paraId="0000000E" w14:textId="77777777" w:rsidR="009D470C" w:rsidRDefault="009D470C">
      <w:pPr>
        <w:spacing w:line="240" w:lineRule="auto"/>
        <w:jc w:val="both"/>
        <w:rPr>
          <w:sz w:val="24"/>
          <w:szCs w:val="24"/>
        </w:rPr>
      </w:pPr>
    </w:p>
    <w:p w14:paraId="0000000F" w14:textId="77777777" w:rsidR="009D470C" w:rsidRDefault="0031656B">
      <w:pPr>
        <w:spacing w:line="240" w:lineRule="auto"/>
        <w:jc w:val="both"/>
        <w:rPr>
          <w:b/>
          <w:sz w:val="24"/>
          <w:szCs w:val="24"/>
        </w:rPr>
      </w:pPr>
      <w:bookmarkStart w:id="1" w:name="_heading=h.gjdgxs" w:colFirst="0" w:colLast="0"/>
      <w:bookmarkEnd w:id="1"/>
      <w:r>
        <w:rPr>
          <w:b/>
          <w:sz w:val="24"/>
          <w:szCs w:val="24"/>
        </w:rPr>
        <w:t xml:space="preserve">SUMÁRIO: 1 INTRODUÇÃO; 2 NATUREZA JURÍDICA DO RECONHECIMENTO DE PESSOAS; </w:t>
      </w:r>
      <w:r>
        <w:rPr>
          <w:sz w:val="24"/>
          <w:szCs w:val="24"/>
        </w:rPr>
        <w:t>2.1 CONCEITO E EVOLUÇÃO DO RECONHECIMENTO PESSOAL E FOTOGRÁFICO NO DIREITO PENAL;</w:t>
      </w:r>
      <w:r>
        <w:rPr>
          <w:b/>
          <w:sz w:val="24"/>
          <w:szCs w:val="24"/>
        </w:rPr>
        <w:t xml:space="preserve"> </w:t>
      </w:r>
      <w:r>
        <w:rPr>
          <w:sz w:val="24"/>
          <w:szCs w:val="24"/>
        </w:rPr>
        <w:t>2.2 O RECONHECIMENTO NO PROCESSO PENAL BRASILEIRO</w:t>
      </w:r>
      <w:r>
        <w:rPr>
          <w:b/>
          <w:sz w:val="24"/>
          <w:szCs w:val="24"/>
        </w:rPr>
        <w:t xml:space="preserve"> 3 PRO</w:t>
      </w:r>
      <w:r>
        <w:rPr>
          <w:b/>
          <w:sz w:val="24"/>
          <w:szCs w:val="24"/>
        </w:rPr>
        <w:t xml:space="preserve">CEDIMENTOS LEGAIS PARA O RECONHECIMENTO PESSOAL E FOTOGRÁFICO; </w:t>
      </w:r>
      <w:r>
        <w:rPr>
          <w:sz w:val="24"/>
          <w:szCs w:val="24"/>
        </w:rPr>
        <w:t xml:space="preserve">3.1 PROTOCOLOS DE RECONHECIMENTO PESSOAL; 3.2. DIRETRIZES PARA O RECONHECIMENTO FOTOGRÁFICO; </w:t>
      </w:r>
      <w:r>
        <w:rPr>
          <w:b/>
          <w:sz w:val="24"/>
          <w:szCs w:val="24"/>
        </w:rPr>
        <w:t xml:space="preserve">4. EM BUSCA DE DECISÕES DOS TRIBUNAIS SUPERIORES; </w:t>
      </w:r>
      <w:r>
        <w:rPr>
          <w:sz w:val="24"/>
          <w:szCs w:val="24"/>
        </w:rPr>
        <w:t>ANÁLISE DE DECISÕES PROFERIDAS NOS TRIBUNAIS SUPER</w:t>
      </w:r>
      <w:r>
        <w:rPr>
          <w:sz w:val="24"/>
          <w:szCs w:val="24"/>
        </w:rPr>
        <w:t xml:space="preserve">IORES; </w:t>
      </w:r>
      <w:r>
        <w:rPr>
          <w:b/>
          <w:sz w:val="24"/>
          <w:szCs w:val="24"/>
        </w:rPr>
        <w:t>5 CONCLUSÃO REFERÊNCIAS.</w:t>
      </w:r>
    </w:p>
    <w:p w14:paraId="00000010" w14:textId="77777777" w:rsidR="009D470C" w:rsidRDefault="009D470C">
      <w:pPr>
        <w:spacing w:line="240" w:lineRule="auto"/>
        <w:jc w:val="both"/>
        <w:rPr>
          <w:b/>
          <w:i/>
          <w:sz w:val="24"/>
          <w:szCs w:val="24"/>
        </w:rPr>
      </w:pPr>
    </w:p>
    <w:p w14:paraId="00000011" w14:textId="77777777" w:rsidR="009D470C" w:rsidRDefault="009D470C">
      <w:pPr>
        <w:spacing w:line="240" w:lineRule="auto"/>
        <w:jc w:val="both"/>
        <w:rPr>
          <w:b/>
          <w:i/>
          <w:sz w:val="24"/>
          <w:szCs w:val="24"/>
        </w:rPr>
      </w:pPr>
    </w:p>
    <w:p w14:paraId="00000012" w14:textId="77777777" w:rsidR="009D470C" w:rsidRDefault="009D470C">
      <w:pPr>
        <w:spacing w:line="240" w:lineRule="auto"/>
        <w:jc w:val="both"/>
        <w:rPr>
          <w:b/>
          <w:sz w:val="24"/>
          <w:szCs w:val="24"/>
        </w:rPr>
      </w:pPr>
    </w:p>
    <w:p w14:paraId="00000013" w14:textId="77777777" w:rsidR="009D470C" w:rsidRDefault="0031656B">
      <w:pPr>
        <w:spacing w:line="240" w:lineRule="auto"/>
        <w:jc w:val="both"/>
        <w:rPr>
          <w:b/>
          <w:sz w:val="24"/>
          <w:szCs w:val="24"/>
        </w:rPr>
      </w:pPr>
      <w:r>
        <w:rPr>
          <w:b/>
          <w:sz w:val="24"/>
          <w:szCs w:val="24"/>
        </w:rPr>
        <w:t xml:space="preserve">1 INTRODUÇÃO </w:t>
      </w:r>
    </w:p>
    <w:p w14:paraId="00000014" w14:textId="77777777" w:rsidR="009D470C" w:rsidRDefault="009D470C">
      <w:pPr>
        <w:spacing w:line="240" w:lineRule="auto"/>
        <w:jc w:val="both"/>
        <w:rPr>
          <w:b/>
          <w:sz w:val="24"/>
          <w:szCs w:val="24"/>
        </w:rPr>
      </w:pPr>
    </w:p>
    <w:p w14:paraId="00000015" w14:textId="77777777" w:rsidR="009D470C" w:rsidRDefault="0031656B">
      <w:pPr>
        <w:spacing w:line="360" w:lineRule="auto"/>
        <w:ind w:firstLine="720"/>
        <w:jc w:val="both"/>
        <w:rPr>
          <w:sz w:val="24"/>
          <w:szCs w:val="24"/>
        </w:rPr>
      </w:pPr>
      <w:r>
        <w:rPr>
          <w:sz w:val="24"/>
          <w:szCs w:val="24"/>
        </w:rPr>
        <w:t>No intrincado universo do processo penal, o reconhecimento pessoal e fotográfico emerge como uma ferramenta de vital importância, detendo um papel crucial na identificação de suspeitos e na formação do conj</w:t>
      </w:r>
      <w:r>
        <w:rPr>
          <w:sz w:val="24"/>
          <w:szCs w:val="24"/>
        </w:rPr>
        <w:t>unto probatório. Entretanto, esta prática, embora fundamental, não está isenta de complexidades e controvérsias, especialmente no que tange à validade e legalidade dessas provas à luz das decisões dos tribunais superiores. Este artigo visa explorar os limi</w:t>
      </w:r>
      <w:r>
        <w:rPr>
          <w:sz w:val="24"/>
          <w:szCs w:val="24"/>
        </w:rPr>
        <w:t>tes da nulidade da prova de reconhecimento no processo penal, analisando como as cortes superiores têm abordado e definido estes parâmetros.</w:t>
      </w:r>
    </w:p>
    <w:p w14:paraId="00000016" w14:textId="77777777" w:rsidR="009D470C" w:rsidRDefault="0031656B">
      <w:pPr>
        <w:spacing w:line="360" w:lineRule="auto"/>
        <w:ind w:firstLine="720"/>
        <w:jc w:val="both"/>
        <w:rPr>
          <w:sz w:val="24"/>
          <w:szCs w:val="24"/>
        </w:rPr>
      </w:pPr>
      <w:r>
        <w:rPr>
          <w:sz w:val="24"/>
          <w:szCs w:val="24"/>
        </w:rPr>
        <w:t>O reconhecimento pessoal e fotográfico, enquanto prática jurídica, encontra-se imerso em um terreno onde as nuances</w:t>
      </w:r>
      <w:r>
        <w:rPr>
          <w:sz w:val="24"/>
          <w:szCs w:val="24"/>
        </w:rPr>
        <w:t xml:space="preserve"> legais e os direitos individuais se entrelaçam de maneira intrincada. A correta aplicação destes métodos não apenas reflete a eficácia do sistema de justiça criminal, mas também resguarda os direitos fundamentais dos indivíduos envolvidos. Este estudo bus</w:t>
      </w:r>
      <w:r>
        <w:rPr>
          <w:sz w:val="24"/>
          <w:szCs w:val="24"/>
        </w:rPr>
        <w:t xml:space="preserve">ca, portanto, delinear os contornos jurídicos que definem a admissibilidade dessas provas, dando especial atenção às circunstâncias que levam à sua nulidade. </w:t>
      </w:r>
    </w:p>
    <w:p w14:paraId="00000017" w14:textId="77777777" w:rsidR="009D470C" w:rsidRDefault="0031656B">
      <w:pPr>
        <w:spacing w:line="360" w:lineRule="auto"/>
        <w:ind w:firstLine="720"/>
        <w:jc w:val="both"/>
        <w:rPr>
          <w:sz w:val="24"/>
          <w:szCs w:val="24"/>
        </w:rPr>
      </w:pPr>
      <w:r>
        <w:rPr>
          <w:sz w:val="24"/>
          <w:szCs w:val="24"/>
        </w:rPr>
        <w:t>Adentrando neste debate jurídico, a pesquisa se debruça sobre a legislação pertinente, doutrinas,</w:t>
      </w:r>
      <w:r>
        <w:rPr>
          <w:sz w:val="24"/>
          <w:szCs w:val="24"/>
        </w:rPr>
        <w:t xml:space="preserve"> e sobretudo, as decisões proferidas pelos tribunais superiores. Estas últimas são de suma importância, pois representam a interpretação mais atual e autoritativa das normas legais em vigor. A análise dessas decisões judiciais é essencial para compreender </w:t>
      </w:r>
      <w:r>
        <w:rPr>
          <w:sz w:val="24"/>
          <w:szCs w:val="24"/>
        </w:rPr>
        <w:t xml:space="preserve">como os princípios de legalidade e justiça são equilibrados na prática, e como as nulidades são identificadas e tratadas pelas cortes. </w:t>
      </w:r>
    </w:p>
    <w:p w14:paraId="00000018" w14:textId="77777777" w:rsidR="009D470C" w:rsidRDefault="0031656B">
      <w:pPr>
        <w:spacing w:line="360" w:lineRule="auto"/>
        <w:ind w:firstLine="720"/>
        <w:jc w:val="both"/>
        <w:rPr>
          <w:sz w:val="24"/>
          <w:szCs w:val="24"/>
        </w:rPr>
      </w:pPr>
      <w:r>
        <w:rPr>
          <w:sz w:val="24"/>
          <w:szCs w:val="24"/>
        </w:rPr>
        <w:t>A justificativa para tal investigação é clara. Em um sistema jurídico que busca a verdade e a justiça, é imperativo ente</w:t>
      </w:r>
      <w:r>
        <w:rPr>
          <w:sz w:val="24"/>
          <w:szCs w:val="24"/>
        </w:rPr>
        <w:t>nder até que ponto o reconhecimento pessoal e fotográfico pode ser considerado confiável e justo. Este entendimento é crucial não apenas para a prática jurídica, mas também para a sociedade em geral, que confia no sistema de justiça para proteger e aplicar</w:t>
      </w:r>
      <w:r>
        <w:rPr>
          <w:sz w:val="24"/>
          <w:szCs w:val="24"/>
        </w:rPr>
        <w:t xml:space="preserve"> a lei de forma justa e precisa.</w:t>
      </w:r>
    </w:p>
    <w:p w14:paraId="00000019" w14:textId="77777777" w:rsidR="009D470C" w:rsidRDefault="0031656B">
      <w:pPr>
        <w:spacing w:line="360" w:lineRule="auto"/>
        <w:ind w:firstLine="720"/>
        <w:jc w:val="both"/>
        <w:rPr>
          <w:sz w:val="24"/>
          <w:szCs w:val="24"/>
        </w:rPr>
      </w:pPr>
      <w:r>
        <w:rPr>
          <w:sz w:val="24"/>
          <w:szCs w:val="24"/>
        </w:rPr>
        <w:t>Para abordar esta questão complexa, adotamos uma metodologia de pesquisa de revisão bibliográfica. Esta abordagem envolve a análise de literatura existente, incluindo estudos jurídicos, artigos acadêmicos, relatórios de casos, e opiniões de tribunais super</w:t>
      </w:r>
      <w:r>
        <w:rPr>
          <w:sz w:val="24"/>
          <w:szCs w:val="24"/>
        </w:rPr>
        <w:t xml:space="preserve">iores. Essa revisão nos permite compilar, sintetizar e avaliar as </w:t>
      </w:r>
      <w:r>
        <w:rPr>
          <w:sz w:val="24"/>
          <w:szCs w:val="24"/>
        </w:rPr>
        <w:lastRenderedPageBreak/>
        <w:t>informações disponíveis sobre o tema, proporcionando uma base sólida para uma discussão informada e aprofundada.</w:t>
      </w:r>
    </w:p>
    <w:p w14:paraId="0000001A" w14:textId="77777777" w:rsidR="009D470C" w:rsidRDefault="0031656B">
      <w:pPr>
        <w:spacing w:line="360" w:lineRule="auto"/>
        <w:jc w:val="both"/>
        <w:rPr>
          <w:b/>
          <w:sz w:val="24"/>
          <w:szCs w:val="24"/>
        </w:rPr>
      </w:pPr>
      <w:r>
        <w:rPr>
          <w:b/>
          <w:sz w:val="24"/>
          <w:szCs w:val="24"/>
        </w:rPr>
        <w:tab/>
      </w:r>
    </w:p>
    <w:p w14:paraId="0000001B" w14:textId="77777777" w:rsidR="009D470C" w:rsidRDefault="0031656B">
      <w:pPr>
        <w:spacing w:line="480" w:lineRule="auto"/>
        <w:rPr>
          <w:b/>
          <w:sz w:val="24"/>
          <w:szCs w:val="24"/>
        </w:rPr>
      </w:pPr>
      <w:r>
        <w:rPr>
          <w:b/>
          <w:sz w:val="24"/>
          <w:szCs w:val="24"/>
        </w:rPr>
        <w:t>2 NATUREZA JURÍDICA DO RECONHECIMENTO DE PESSOAS</w:t>
      </w:r>
    </w:p>
    <w:p w14:paraId="0000001C" w14:textId="77777777" w:rsidR="009D470C" w:rsidRDefault="0031656B">
      <w:pPr>
        <w:spacing w:line="360" w:lineRule="auto"/>
        <w:ind w:firstLine="709"/>
        <w:jc w:val="both"/>
        <w:rPr>
          <w:sz w:val="24"/>
          <w:szCs w:val="24"/>
        </w:rPr>
      </w:pPr>
      <w:r>
        <w:rPr>
          <w:sz w:val="24"/>
          <w:szCs w:val="24"/>
        </w:rPr>
        <w:t>O reconhecimento de pessoa</w:t>
      </w:r>
      <w:r>
        <w:rPr>
          <w:sz w:val="24"/>
          <w:szCs w:val="24"/>
        </w:rPr>
        <w:t>s no direito penal brasileiro é tratado como um meio de prova. Este procedimento é estabelecido no artigo 226 do Código de Processo Penal (CPP), que detalha as formalidades necessárias para sua realização. Tais formalidades têm como objetivo garantir a imp</w:t>
      </w:r>
      <w:r>
        <w:rPr>
          <w:sz w:val="24"/>
          <w:szCs w:val="24"/>
        </w:rPr>
        <w:t>arcialidade e reduzir os riscos de identificação incorreta.</w:t>
      </w:r>
    </w:p>
    <w:p w14:paraId="0000001D" w14:textId="77777777" w:rsidR="009D470C" w:rsidRDefault="0031656B">
      <w:pPr>
        <w:spacing w:line="360" w:lineRule="auto"/>
        <w:ind w:firstLine="709"/>
        <w:jc w:val="both"/>
        <w:rPr>
          <w:sz w:val="24"/>
          <w:szCs w:val="24"/>
        </w:rPr>
      </w:pPr>
      <w:r>
        <w:rPr>
          <w:sz w:val="24"/>
          <w:szCs w:val="24"/>
        </w:rPr>
        <w:t>Neste sentido, entende-se como meio de prova a qualquer método ou instrumento utilizado para estabelecer a verdade dos fatos em um processo judicial. O objetivo principal dos meios de prova é forn</w:t>
      </w:r>
      <w:r>
        <w:rPr>
          <w:sz w:val="24"/>
          <w:szCs w:val="24"/>
        </w:rPr>
        <w:t>ecer ao juiz informações suficientes para formar sua convicção sobre as alegações e defesas apresentadas pelas partes.</w:t>
      </w:r>
    </w:p>
    <w:p w14:paraId="0000001E" w14:textId="77777777" w:rsidR="009D470C" w:rsidRDefault="0031656B">
      <w:pPr>
        <w:spacing w:line="360" w:lineRule="auto"/>
        <w:ind w:firstLine="709"/>
        <w:jc w:val="both"/>
        <w:rPr>
          <w:sz w:val="24"/>
          <w:szCs w:val="24"/>
        </w:rPr>
      </w:pPr>
      <w:r>
        <w:rPr>
          <w:sz w:val="24"/>
          <w:szCs w:val="24"/>
        </w:rPr>
        <w:t>Paulo Rangel (2015, p. 515) afirma que “</w:t>
      </w:r>
      <w:r>
        <w:rPr>
          <w:i/>
          <w:sz w:val="24"/>
          <w:szCs w:val="24"/>
        </w:rPr>
        <w:t>o sistema de provas é o critério utilizado pelo juiz para valorar as provas dos autos, alcançando</w:t>
      </w:r>
      <w:r>
        <w:rPr>
          <w:i/>
          <w:sz w:val="24"/>
          <w:szCs w:val="24"/>
        </w:rPr>
        <w:t xml:space="preserve"> a verdade histórica do processo</w:t>
      </w:r>
      <w:r>
        <w:rPr>
          <w:sz w:val="24"/>
          <w:szCs w:val="24"/>
        </w:rPr>
        <w:t>”. Neste sentido, o Código de Processo Penal traz à baila o artigo 226, responsável por nortear as decisões que versem sobre reconhecimento de pessoas. Ademais, o mesmo é utilizado como base para o reconhecimento fotográfico</w:t>
      </w:r>
      <w:r>
        <w:rPr>
          <w:sz w:val="24"/>
          <w:szCs w:val="24"/>
        </w:rPr>
        <w:t xml:space="preserve">, vez que detalha o procedimento para o reconhecimento de pessoas, considerado um aspecto crucial nas investigações e instruções penais. </w:t>
      </w:r>
    </w:p>
    <w:p w14:paraId="0000001F" w14:textId="77777777" w:rsidR="009D470C" w:rsidRDefault="009D470C">
      <w:pPr>
        <w:spacing w:line="360" w:lineRule="auto"/>
        <w:jc w:val="both"/>
        <w:rPr>
          <w:b/>
          <w:sz w:val="24"/>
          <w:szCs w:val="24"/>
        </w:rPr>
      </w:pPr>
    </w:p>
    <w:p w14:paraId="00000020" w14:textId="77777777" w:rsidR="009D470C" w:rsidRDefault="0031656B">
      <w:pPr>
        <w:spacing w:line="360" w:lineRule="auto"/>
        <w:jc w:val="both"/>
        <w:rPr>
          <w:sz w:val="24"/>
          <w:szCs w:val="24"/>
        </w:rPr>
      </w:pPr>
      <w:r>
        <w:rPr>
          <w:sz w:val="24"/>
          <w:szCs w:val="24"/>
        </w:rPr>
        <w:t>2.1 CONCEITO E EVOLUÇÃO DO RECONHECIMENTO PESSOAL E FOTOGRÁFICO NO DIREITO PENAL</w:t>
      </w:r>
    </w:p>
    <w:p w14:paraId="00000021" w14:textId="77777777" w:rsidR="009D470C" w:rsidRDefault="009D470C">
      <w:pPr>
        <w:spacing w:line="360" w:lineRule="auto"/>
        <w:jc w:val="both"/>
        <w:rPr>
          <w:sz w:val="24"/>
          <w:szCs w:val="24"/>
        </w:rPr>
      </w:pPr>
    </w:p>
    <w:p w14:paraId="00000022" w14:textId="77777777" w:rsidR="009D470C" w:rsidRDefault="0031656B">
      <w:pPr>
        <w:spacing w:line="360" w:lineRule="auto"/>
        <w:ind w:firstLine="709"/>
        <w:jc w:val="both"/>
        <w:rPr>
          <w:sz w:val="24"/>
          <w:szCs w:val="24"/>
        </w:rPr>
      </w:pPr>
      <w:r>
        <w:rPr>
          <w:sz w:val="24"/>
          <w:szCs w:val="24"/>
        </w:rPr>
        <w:t>O reconhecimento pessoal e fotográf</w:t>
      </w:r>
      <w:r>
        <w:rPr>
          <w:sz w:val="24"/>
          <w:szCs w:val="24"/>
        </w:rPr>
        <w:t xml:space="preserve">ico tem sido um componente crucial no direito penal por séculos, evoluindo significativamente ao longo do tempo em resposta às mudanças tecnológicas e às demandas por maior precisão e justiça nos processos judiciais. Nucci compreende o reconhecimento como </w:t>
      </w:r>
      <w:r>
        <w:rPr>
          <w:sz w:val="24"/>
          <w:szCs w:val="24"/>
        </w:rPr>
        <w:t>“ato pelo qual uma pessoa admite e afirma como certa a identidade de outra ou a qualidade de uma coisa”. (2012, p. 526).</w:t>
      </w:r>
    </w:p>
    <w:p w14:paraId="00000023" w14:textId="77777777" w:rsidR="009D470C" w:rsidRDefault="0031656B">
      <w:pPr>
        <w:spacing w:line="360" w:lineRule="auto"/>
        <w:ind w:firstLine="709"/>
        <w:jc w:val="both"/>
        <w:rPr>
          <w:sz w:val="24"/>
          <w:szCs w:val="24"/>
        </w:rPr>
      </w:pPr>
      <w:r>
        <w:rPr>
          <w:sz w:val="24"/>
          <w:szCs w:val="24"/>
        </w:rPr>
        <w:t>Historicamente, o reconhecimento pessoal baseava-se primariamente no testemunho ocular. Esta forma de identificação, apesar de sua long</w:t>
      </w:r>
      <w:r>
        <w:rPr>
          <w:sz w:val="24"/>
          <w:szCs w:val="24"/>
        </w:rPr>
        <w:t xml:space="preserve">a história de uso, sempre foi permeada por questões relativas à sua confiabilidade. Diversos estudos </w:t>
      </w:r>
      <w:r>
        <w:rPr>
          <w:sz w:val="24"/>
          <w:szCs w:val="24"/>
        </w:rPr>
        <w:lastRenderedPageBreak/>
        <w:t xml:space="preserve">psicológicos e jurídicos têm demonstrado que a memória humana é falível e suscetível a diversas influências, o que pode levar a erros de identificação. As </w:t>
      </w:r>
      <w:r>
        <w:rPr>
          <w:sz w:val="24"/>
          <w:szCs w:val="24"/>
        </w:rPr>
        <w:t>preocupações sobre a precisão do testemunho ocular foram um dos fatores que impulsionaram o desenvolvimento e a adoção de métodos mais objetivos e científicos de reconhecimento, como a fotografia.</w:t>
      </w:r>
    </w:p>
    <w:p w14:paraId="00000024" w14:textId="77777777" w:rsidR="009D470C" w:rsidRDefault="0031656B">
      <w:pPr>
        <w:spacing w:line="360" w:lineRule="auto"/>
        <w:ind w:firstLine="709"/>
        <w:jc w:val="both"/>
        <w:rPr>
          <w:sz w:val="24"/>
          <w:szCs w:val="24"/>
        </w:rPr>
      </w:pPr>
      <w:r>
        <w:rPr>
          <w:sz w:val="24"/>
          <w:szCs w:val="24"/>
        </w:rPr>
        <w:t>Com o advento da fotografia no século XIX, o reconhecimento fotográfico começou a ganhar terreno no âmbito jurídico. Este método permitiu uma forma de identificação mais duradoura e tangível, comparada ao efêmero e subjetivo testemunho ocular. A fotografia</w:t>
      </w:r>
      <w:r>
        <w:rPr>
          <w:sz w:val="24"/>
          <w:szCs w:val="24"/>
        </w:rPr>
        <w:t xml:space="preserve"> proporcionou um meio de conservar a imagem do suspeito, permitindo comparações e análises posteriores. No entanto, este método também não está isento de falhas, incluindo a possibilidade de manipulação de imagens e o risco de influência nas testemunhas, q</w:t>
      </w:r>
      <w:r>
        <w:rPr>
          <w:sz w:val="24"/>
          <w:szCs w:val="24"/>
        </w:rPr>
        <w:t>ue podem ser levadas a reconhecer uma pessoa com base na repetição da exposição à sua fotografia, em vez de uma memória autêntica do evento em questão.</w:t>
      </w:r>
    </w:p>
    <w:p w14:paraId="00000025" w14:textId="77777777" w:rsidR="009D470C" w:rsidRDefault="0031656B">
      <w:pPr>
        <w:spacing w:line="360" w:lineRule="auto"/>
        <w:ind w:firstLine="709"/>
        <w:jc w:val="both"/>
        <w:rPr>
          <w:sz w:val="24"/>
          <w:szCs w:val="24"/>
        </w:rPr>
      </w:pPr>
      <w:r>
        <w:rPr>
          <w:sz w:val="24"/>
          <w:szCs w:val="24"/>
        </w:rPr>
        <w:t>Ao longo do século XX e com o início do século XXI, houve um aprimoramento contínuo nas técnicas de reco</w:t>
      </w:r>
      <w:r>
        <w:rPr>
          <w:sz w:val="24"/>
          <w:szCs w:val="24"/>
        </w:rPr>
        <w:t>nhecimento pessoal e fotográfico, especialmente com o advento de tecnologias digitais. A digitalização das imagens e o uso de softwares de reconhecimento facial tornaram-se ferramentas importantes nas investigações criminais. Essas tecnologias prometem mai</w:t>
      </w:r>
      <w:r>
        <w:rPr>
          <w:sz w:val="24"/>
          <w:szCs w:val="24"/>
        </w:rPr>
        <w:t>or precisão e eficiência, mas também trazem novos desafios jurídicos e éticos, especialmente relacionados à privacidade e aos potenciais vieses inerentes aos algoritmos de reconhecimento facial.</w:t>
      </w:r>
    </w:p>
    <w:p w14:paraId="00000026" w14:textId="77777777" w:rsidR="009D470C" w:rsidRDefault="0031656B">
      <w:pPr>
        <w:spacing w:line="360" w:lineRule="auto"/>
        <w:ind w:firstLine="709"/>
        <w:jc w:val="both"/>
        <w:rPr>
          <w:color w:val="000000"/>
          <w:sz w:val="24"/>
          <w:szCs w:val="24"/>
        </w:rPr>
      </w:pPr>
      <w:r>
        <w:rPr>
          <w:color w:val="000000"/>
          <w:sz w:val="24"/>
          <w:szCs w:val="24"/>
        </w:rPr>
        <w:t>Nesse sentido, a análise do reconhecimento de pessoas como me</w:t>
      </w:r>
      <w:r>
        <w:rPr>
          <w:color w:val="000000"/>
          <w:sz w:val="24"/>
          <w:szCs w:val="24"/>
        </w:rPr>
        <w:t>io de prova no âmbito do Código de Processo Penal Brasileiro, especificamente no que tange ao artigo 226 do diploma, abre um vasto campo de discussão. O reconhecimento pessoal é uma prática antiga no processo penal, sendo uma das formas de prova testemunha</w:t>
      </w:r>
      <w:r>
        <w:rPr>
          <w:color w:val="000000"/>
          <w:sz w:val="24"/>
          <w:szCs w:val="24"/>
        </w:rPr>
        <w:t>l. No entanto, sua validade e confiabilidade têm sido questionadas, principalmente em razão das descobertas sobre a memória humana e sua falibilidade (RANGEL, 2015, 112-113).</w:t>
      </w:r>
    </w:p>
    <w:p w14:paraId="00000027" w14:textId="77777777" w:rsidR="009D470C" w:rsidRDefault="0031656B">
      <w:pPr>
        <w:spacing w:line="360" w:lineRule="auto"/>
        <w:ind w:firstLine="709"/>
        <w:jc w:val="both"/>
        <w:rPr>
          <w:sz w:val="24"/>
          <w:szCs w:val="24"/>
        </w:rPr>
      </w:pPr>
      <w:r>
        <w:rPr>
          <w:sz w:val="24"/>
          <w:szCs w:val="24"/>
        </w:rPr>
        <w:t>No que se refere aos aspectos legais, faz-se necessário estabelecer diretrizes cl</w:t>
      </w:r>
      <w:r>
        <w:rPr>
          <w:sz w:val="24"/>
          <w:szCs w:val="24"/>
        </w:rPr>
        <w:t>aras para o reconhecimento de pessoas evitando a variabilidade nas práticas judiciais. Uma vez que tal variabilidade pode levar a inconsistências e, potencialmente, a injustiças. Portanto, a formulação de protocolos padronizados, baseados em evidências cie</w:t>
      </w:r>
      <w:r>
        <w:rPr>
          <w:sz w:val="24"/>
          <w:szCs w:val="24"/>
        </w:rPr>
        <w:t>ntíficas, é uma medida fundamental para a melhoria do sistema jurídico (AVENA, 2019, p. 652).</w:t>
      </w:r>
    </w:p>
    <w:p w14:paraId="00000028" w14:textId="77777777" w:rsidR="009D470C" w:rsidRDefault="0031656B">
      <w:pPr>
        <w:spacing w:line="360" w:lineRule="auto"/>
        <w:ind w:firstLine="709"/>
        <w:jc w:val="both"/>
        <w:rPr>
          <w:sz w:val="24"/>
          <w:szCs w:val="24"/>
        </w:rPr>
      </w:pPr>
      <w:r>
        <w:rPr>
          <w:sz w:val="24"/>
          <w:szCs w:val="24"/>
        </w:rPr>
        <w:lastRenderedPageBreak/>
        <w:t>Legalmente, o reconhecimento pessoal e fotográfico tem sido objeto de intensos debates e reformulações legislativas. Diversos países implementaram leis e diretriz</w:t>
      </w:r>
      <w:r>
        <w:rPr>
          <w:sz w:val="24"/>
          <w:szCs w:val="24"/>
        </w:rPr>
        <w:t xml:space="preserve">es para regular essas práticas, buscando equilibrar a necessidade de eficácia na investigação e no processo penal com a proteção dos direitos fundamentais dos indivíduos. </w:t>
      </w:r>
    </w:p>
    <w:p w14:paraId="00000029" w14:textId="77777777" w:rsidR="009D470C" w:rsidRDefault="0031656B">
      <w:pPr>
        <w:spacing w:line="360" w:lineRule="auto"/>
        <w:ind w:firstLine="709"/>
        <w:jc w:val="both"/>
        <w:rPr>
          <w:sz w:val="24"/>
          <w:szCs w:val="24"/>
        </w:rPr>
      </w:pPr>
      <w:r>
        <w:rPr>
          <w:sz w:val="24"/>
          <w:szCs w:val="24"/>
        </w:rPr>
        <w:t>No Brasil, por exemplo, a legislação e as decisões dos tribunais superiores têm busc</w:t>
      </w:r>
      <w:r>
        <w:rPr>
          <w:sz w:val="24"/>
          <w:szCs w:val="24"/>
        </w:rPr>
        <w:t>ado estabelecer critérios claros e rigorosos para a validade desses métodos de reconhecimento, a fim de minimizar os riscos de erros judiciários e garantir o cumprimento dos princípios constitucionais.</w:t>
      </w:r>
    </w:p>
    <w:p w14:paraId="0000002A" w14:textId="77777777" w:rsidR="009D470C" w:rsidRDefault="009D470C">
      <w:pPr>
        <w:spacing w:line="360" w:lineRule="auto"/>
        <w:jc w:val="both"/>
        <w:rPr>
          <w:sz w:val="24"/>
          <w:szCs w:val="24"/>
        </w:rPr>
      </w:pPr>
    </w:p>
    <w:p w14:paraId="0000002B" w14:textId="77777777" w:rsidR="009D470C" w:rsidRDefault="0031656B">
      <w:pPr>
        <w:spacing w:line="480" w:lineRule="auto"/>
        <w:jc w:val="both"/>
        <w:rPr>
          <w:sz w:val="24"/>
          <w:szCs w:val="24"/>
        </w:rPr>
      </w:pPr>
      <w:r>
        <w:rPr>
          <w:sz w:val="24"/>
          <w:szCs w:val="24"/>
        </w:rPr>
        <w:t>2.2 O RECONHECIMENTO NO PROCESSO PENAL BRASILEIRO</w:t>
      </w:r>
    </w:p>
    <w:p w14:paraId="0000002C" w14:textId="77777777" w:rsidR="009D470C" w:rsidRDefault="0031656B">
      <w:pPr>
        <w:spacing w:line="360" w:lineRule="auto"/>
        <w:ind w:firstLine="709"/>
        <w:jc w:val="both"/>
        <w:rPr>
          <w:sz w:val="24"/>
          <w:szCs w:val="24"/>
        </w:rPr>
      </w:pPr>
      <w:r>
        <w:rPr>
          <w:sz w:val="24"/>
          <w:szCs w:val="24"/>
        </w:rPr>
        <w:t>A e</w:t>
      </w:r>
      <w:r>
        <w:rPr>
          <w:sz w:val="24"/>
          <w:szCs w:val="24"/>
        </w:rPr>
        <w:t>volução das normas processuais relacionadas ao reconhecimento pessoal e fotográfico no Brasil é um reflexo da busca contínua por maior precisão e justiça no sistema jurídico. No contexto do direito processual penal brasileiro, o reconhecimento de pessoas e</w:t>
      </w:r>
      <w:r>
        <w:rPr>
          <w:sz w:val="24"/>
          <w:szCs w:val="24"/>
        </w:rPr>
        <w:t xml:space="preserve"> objetos é regulado principalmente pelo Código de Processo Penal (CPP). </w:t>
      </w:r>
    </w:p>
    <w:p w14:paraId="0000002D" w14:textId="77777777" w:rsidR="009D470C" w:rsidRDefault="0031656B">
      <w:pPr>
        <w:spacing w:line="360" w:lineRule="auto"/>
        <w:ind w:firstLine="709"/>
        <w:jc w:val="both"/>
        <w:rPr>
          <w:sz w:val="24"/>
          <w:szCs w:val="24"/>
        </w:rPr>
      </w:pPr>
      <w:r>
        <w:rPr>
          <w:sz w:val="24"/>
          <w:szCs w:val="24"/>
        </w:rPr>
        <w:t>O CPP estabelece um conjunto de procedimentos específicos que devem ser seguidos durante o reconhecimento de pessoas. Estes procedimentos estão detalhados nos artigos 226 a 228 do Cód</w:t>
      </w:r>
      <w:r>
        <w:rPr>
          <w:sz w:val="24"/>
          <w:szCs w:val="24"/>
        </w:rPr>
        <w:t xml:space="preserve">igo. Essas disposições foram criadas para garantir que o reconhecimento seja feito de maneira imparcial e com a maior precisão possível, minimizando as chances de identificação errônea. </w:t>
      </w:r>
    </w:p>
    <w:p w14:paraId="0000002E" w14:textId="77777777" w:rsidR="009D470C" w:rsidRDefault="0031656B">
      <w:pPr>
        <w:spacing w:before="240" w:line="360" w:lineRule="auto"/>
        <w:ind w:firstLine="700"/>
        <w:jc w:val="both"/>
        <w:rPr>
          <w:sz w:val="24"/>
          <w:szCs w:val="24"/>
        </w:rPr>
      </w:pPr>
      <w:r>
        <w:rPr>
          <w:sz w:val="24"/>
          <w:szCs w:val="24"/>
        </w:rPr>
        <w:t>O reconhecimento de pessoas assume um papel crucial no processo de id</w:t>
      </w:r>
      <w:r>
        <w:rPr>
          <w:sz w:val="24"/>
          <w:szCs w:val="24"/>
        </w:rPr>
        <w:t>entificação, sendo um método utilizado para distinguir um indivíduo, atuando como uma forma de evidência focada na confirmação da autoria do delito. O Art. 226, previsto no Código de Processo Penal Brasileiro, é o artigo principal que norteia tais decisões</w:t>
      </w:r>
      <w:r>
        <w:rPr>
          <w:sz w:val="24"/>
          <w:szCs w:val="24"/>
        </w:rPr>
        <w:t>, ele é utilizado como base para o reconhecimento fotográfico, vez que detalha o procedimento para o reconhecimento de pessoas, considerado um aspecto crucial nas investigações e instruções penais.</w:t>
      </w:r>
    </w:p>
    <w:p w14:paraId="0000002F" w14:textId="77777777" w:rsidR="009D470C" w:rsidRDefault="0031656B">
      <w:pPr>
        <w:spacing w:before="240" w:line="360" w:lineRule="auto"/>
        <w:ind w:firstLine="700"/>
        <w:jc w:val="both"/>
        <w:rPr>
          <w:sz w:val="24"/>
          <w:szCs w:val="24"/>
        </w:rPr>
      </w:pPr>
      <w:r>
        <w:rPr>
          <w:sz w:val="24"/>
          <w:szCs w:val="24"/>
        </w:rPr>
        <w:t xml:space="preserve"> Assim, o referido artigo se inicia com a exigência de que a pessoa chamada para o procedimento descreva quem deve ser reconhecido, um passo importante para garantir que tal reconhecimento se baseie na memória da testemunha e não apenas na pessoa apresenta</w:t>
      </w:r>
      <w:r>
        <w:rPr>
          <w:sz w:val="24"/>
          <w:szCs w:val="24"/>
        </w:rPr>
        <w:t xml:space="preserve">da. Em seguida, uma vez obtida a descrição, pessoas com </w:t>
      </w:r>
      <w:r>
        <w:rPr>
          <w:sz w:val="24"/>
          <w:szCs w:val="24"/>
        </w:rPr>
        <w:lastRenderedPageBreak/>
        <w:t>características semelhantes são posicionadas ao lado umas das outras, permitindo à vítima identificar o indivíduo de forma isolada. Isso cria um contexto mais imparcial para o reconhecimento, ajudando</w:t>
      </w:r>
      <w:r>
        <w:rPr>
          <w:sz w:val="24"/>
          <w:szCs w:val="24"/>
        </w:rPr>
        <w:t xml:space="preserve"> a evitar viés e sugestões na identificação.</w:t>
      </w:r>
    </w:p>
    <w:p w14:paraId="00000030" w14:textId="77777777" w:rsidR="009D470C" w:rsidRDefault="0031656B">
      <w:pPr>
        <w:spacing w:before="240" w:line="360" w:lineRule="auto"/>
        <w:ind w:firstLine="700"/>
        <w:jc w:val="both"/>
        <w:rPr>
          <w:sz w:val="24"/>
          <w:szCs w:val="24"/>
        </w:rPr>
      </w:pPr>
      <w:r>
        <w:rPr>
          <w:sz w:val="24"/>
          <w:szCs w:val="24"/>
        </w:rPr>
        <w:t>Nessa perspectiva, o reconhecimento de pessoas trata-se de um meio de prova que consiste no apontamento da figura do acusado da prática delitiva, por parte da vítima ou da testemunha, observando um catálogo de s</w:t>
      </w:r>
      <w:r>
        <w:rPr>
          <w:sz w:val="24"/>
          <w:szCs w:val="24"/>
        </w:rPr>
        <w:t>uspeitos que lhes é apresentado. Além disso, a norma que prevê o procedimento citado aborda a possibilidade de intimidação ou influência sobre uma testemunha e estabelece medidas para proteger sua integridade e garantir a veracidade de seu testemunho, defi</w:t>
      </w:r>
      <w:r>
        <w:rPr>
          <w:sz w:val="24"/>
          <w:szCs w:val="24"/>
        </w:rPr>
        <w:t>nindo que a realização do reconhecimento aconteça de forma que a testemunha não seja vista pela pessoa reconhecida.</w:t>
      </w:r>
    </w:p>
    <w:p w14:paraId="00000031" w14:textId="77777777" w:rsidR="009D470C" w:rsidRDefault="0031656B">
      <w:pPr>
        <w:spacing w:before="240" w:line="360" w:lineRule="auto"/>
        <w:ind w:firstLine="700"/>
        <w:jc w:val="both"/>
        <w:rPr>
          <w:sz w:val="24"/>
          <w:szCs w:val="24"/>
        </w:rPr>
      </w:pPr>
      <w:r>
        <w:rPr>
          <w:sz w:val="24"/>
          <w:szCs w:val="24"/>
        </w:rPr>
        <w:t>Por último, é exigido um registo formal do procedimento de reconhecimento, que deve ser detalhado num auto notificado pela autoridade presen</w:t>
      </w:r>
      <w:r>
        <w:rPr>
          <w:sz w:val="24"/>
          <w:szCs w:val="24"/>
        </w:rPr>
        <w:t>te no momento da identificação, pela pessoa chamada para proceder o reconhecimento e por duas testemunhas presenciais. Este registro é essencial para a transparência do processo e permite uma revisão futura, se necessária.</w:t>
      </w:r>
    </w:p>
    <w:p w14:paraId="00000032" w14:textId="77777777" w:rsidR="009D470C" w:rsidRDefault="009D470C">
      <w:pPr>
        <w:spacing w:line="360" w:lineRule="auto"/>
        <w:jc w:val="both"/>
        <w:rPr>
          <w:sz w:val="24"/>
          <w:szCs w:val="24"/>
        </w:rPr>
      </w:pPr>
    </w:p>
    <w:p w14:paraId="00000033" w14:textId="77777777" w:rsidR="009D470C" w:rsidRDefault="0031656B">
      <w:pPr>
        <w:spacing w:line="360" w:lineRule="auto"/>
        <w:ind w:firstLine="709"/>
        <w:jc w:val="both"/>
        <w:rPr>
          <w:sz w:val="24"/>
          <w:szCs w:val="24"/>
        </w:rPr>
      </w:pPr>
      <w:r>
        <w:rPr>
          <w:sz w:val="24"/>
          <w:szCs w:val="24"/>
        </w:rPr>
        <w:t>O Código de Processo Penal Brasi</w:t>
      </w:r>
      <w:r>
        <w:rPr>
          <w:sz w:val="24"/>
          <w:szCs w:val="24"/>
        </w:rPr>
        <w:t>leiro também prevê que, se houver necessidade de reconhecimento fotográfico, este deve ser feito de maneira que respeite os mesmos princípios de imparcialidade e precisão. As fotografias devem ser apresentadas de forma que não induzam a testemunha a identi</w:t>
      </w:r>
      <w:r>
        <w:rPr>
          <w:sz w:val="24"/>
          <w:szCs w:val="24"/>
        </w:rPr>
        <w:t>ficar uma pessoa específica.</w:t>
      </w:r>
    </w:p>
    <w:p w14:paraId="00000034" w14:textId="77777777" w:rsidR="009D470C" w:rsidRDefault="0031656B">
      <w:pPr>
        <w:spacing w:line="360" w:lineRule="auto"/>
        <w:ind w:firstLine="709"/>
        <w:jc w:val="both"/>
        <w:rPr>
          <w:sz w:val="24"/>
          <w:szCs w:val="24"/>
        </w:rPr>
      </w:pPr>
      <w:r>
        <w:rPr>
          <w:sz w:val="24"/>
          <w:szCs w:val="24"/>
        </w:rPr>
        <w:t>Essas normas refletem a preocupação do sistema jurídico brasileiro em garantir que os reconhecimentos sejam realizados de forma justa e que as evidências obtidas através desses procedimentos sejam confiáveis e válidas no contex</w:t>
      </w:r>
      <w:r>
        <w:rPr>
          <w:sz w:val="24"/>
          <w:szCs w:val="24"/>
        </w:rPr>
        <w:t>to do processo penal. A legislação brasileira procura, assim, equilibrar a necessidade de eficiência na investigação e no processo penal com a proteção dos direitos individuais, visando reduzir os riscos de erros judiciários e injustiças.</w:t>
      </w:r>
    </w:p>
    <w:p w14:paraId="00000035" w14:textId="77777777" w:rsidR="009D470C" w:rsidRDefault="009D470C">
      <w:pPr>
        <w:spacing w:line="240" w:lineRule="auto"/>
        <w:jc w:val="both"/>
        <w:rPr>
          <w:sz w:val="24"/>
          <w:szCs w:val="24"/>
        </w:rPr>
      </w:pPr>
    </w:p>
    <w:p w14:paraId="00000036" w14:textId="77777777" w:rsidR="009D470C" w:rsidRDefault="0031656B">
      <w:pPr>
        <w:spacing w:line="360" w:lineRule="auto"/>
        <w:jc w:val="both"/>
        <w:rPr>
          <w:b/>
          <w:sz w:val="24"/>
          <w:szCs w:val="24"/>
        </w:rPr>
      </w:pPr>
      <w:r>
        <w:rPr>
          <w:b/>
          <w:sz w:val="24"/>
          <w:szCs w:val="24"/>
        </w:rPr>
        <w:t xml:space="preserve">3 PROCEDIMENTOS </w:t>
      </w:r>
      <w:r>
        <w:rPr>
          <w:b/>
          <w:sz w:val="24"/>
          <w:szCs w:val="24"/>
        </w:rPr>
        <w:t>LEGAIS PARA O RECONHECIMENTO PESSOAL E FOTOGRÁFICO</w:t>
      </w:r>
    </w:p>
    <w:p w14:paraId="00000037" w14:textId="77777777" w:rsidR="009D470C" w:rsidRDefault="009D470C">
      <w:pPr>
        <w:spacing w:line="360" w:lineRule="auto"/>
        <w:jc w:val="both"/>
        <w:rPr>
          <w:b/>
          <w:sz w:val="24"/>
          <w:szCs w:val="24"/>
        </w:rPr>
      </w:pPr>
    </w:p>
    <w:p w14:paraId="00000038" w14:textId="77777777" w:rsidR="009D470C" w:rsidRDefault="0031656B">
      <w:pPr>
        <w:spacing w:line="360" w:lineRule="auto"/>
        <w:ind w:firstLine="709"/>
        <w:jc w:val="both"/>
        <w:rPr>
          <w:sz w:val="24"/>
          <w:szCs w:val="24"/>
        </w:rPr>
      </w:pPr>
      <w:r>
        <w:rPr>
          <w:sz w:val="24"/>
          <w:szCs w:val="24"/>
        </w:rPr>
        <w:lastRenderedPageBreak/>
        <w:t>O reconhecimento pessoal e fotográfico no processo penal representa uma das práticas mais tradicionais e, ao mesmo tempo, controversas na identificação de suspeitos. Legalmente, tal procedimento é regulam</w:t>
      </w:r>
      <w:r>
        <w:rPr>
          <w:sz w:val="24"/>
          <w:szCs w:val="24"/>
        </w:rPr>
        <w:t xml:space="preserve">entado por diversos dispositivos legais como Código de Processo Penal (CPP), nos seus artigos 226 a 228, estabelece diretrizes específicas para o procedimento de reconhecimento de pessoas. </w:t>
      </w:r>
    </w:p>
    <w:p w14:paraId="00000039" w14:textId="77777777" w:rsidR="009D470C" w:rsidRDefault="0031656B">
      <w:pPr>
        <w:spacing w:line="360" w:lineRule="auto"/>
        <w:ind w:firstLine="709"/>
        <w:jc w:val="both"/>
        <w:rPr>
          <w:sz w:val="24"/>
          <w:szCs w:val="24"/>
        </w:rPr>
      </w:pPr>
      <w:r>
        <w:rPr>
          <w:sz w:val="24"/>
          <w:szCs w:val="24"/>
        </w:rPr>
        <w:t xml:space="preserve">O reconhecimento fotográfico, apesar de não estar especificamente </w:t>
      </w:r>
      <w:r>
        <w:rPr>
          <w:sz w:val="24"/>
          <w:szCs w:val="24"/>
        </w:rPr>
        <w:t>regulamentado, é uma prática amplamente aceita pelos tribunais, desde que executado com rigorosa observância de critérios que asseguram a sua imparcialidade. A adequação desse método no processo penal é atestada pela forma cuidadosa como as fotografias são</w:t>
      </w:r>
      <w:r>
        <w:rPr>
          <w:sz w:val="24"/>
          <w:szCs w:val="24"/>
        </w:rPr>
        <w:t xml:space="preserve"> apresentadas às testemunhas, buscando-se evitar qualquer forma de indução ou sugestão. Essa cautela é essencial, dada a natureza ambiental sugestiva do reconhecimento fotográfico, que pode levar a identificações errôneas.</w:t>
      </w:r>
    </w:p>
    <w:p w14:paraId="0000003A" w14:textId="77777777" w:rsidR="009D470C" w:rsidRDefault="009D470C">
      <w:pPr>
        <w:spacing w:line="360" w:lineRule="auto"/>
        <w:ind w:firstLine="720"/>
        <w:jc w:val="both"/>
        <w:rPr>
          <w:sz w:val="24"/>
          <w:szCs w:val="24"/>
        </w:rPr>
      </w:pPr>
    </w:p>
    <w:p w14:paraId="0000003B" w14:textId="77777777" w:rsidR="009D470C" w:rsidRDefault="0031656B">
      <w:pPr>
        <w:spacing w:line="240" w:lineRule="auto"/>
        <w:jc w:val="both"/>
        <w:rPr>
          <w:b/>
          <w:sz w:val="24"/>
          <w:szCs w:val="24"/>
        </w:rPr>
      </w:pPr>
      <w:r>
        <w:rPr>
          <w:sz w:val="24"/>
          <w:szCs w:val="24"/>
        </w:rPr>
        <w:t>3.1 PROTOCOLOS DE RECONHECIMENTO</w:t>
      </w:r>
      <w:r>
        <w:rPr>
          <w:sz w:val="24"/>
          <w:szCs w:val="24"/>
        </w:rPr>
        <w:t xml:space="preserve"> PESSOAL</w:t>
      </w:r>
    </w:p>
    <w:p w14:paraId="0000003C" w14:textId="77777777" w:rsidR="009D470C" w:rsidRDefault="009D470C">
      <w:pPr>
        <w:spacing w:line="240" w:lineRule="auto"/>
        <w:rPr>
          <w:b/>
          <w:sz w:val="24"/>
          <w:szCs w:val="24"/>
        </w:rPr>
      </w:pPr>
    </w:p>
    <w:p w14:paraId="0000003D" w14:textId="77777777" w:rsidR="009D470C" w:rsidRDefault="0031656B">
      <w:pPr>
        <w:spacing w:line="360" w:lineRule="auto"/>
        <w:ind w:firstLine="709"/>
        <w:jc w:val="both"/>
        <w:rPr>
          <w:sz w:val="24"/>
          <w:szCs w:val="24"/>
        </w:rPr>
      </w:pPr>
      <w:r>
        <w:rPr>
          <w:sz w:val="24"/>
          <w:szCs w:val="24"/>
        </w:rPr>
        <w:t>O reconhecimento pessoal, disposto no Art. 226 a Art. 228 do Código de Processo Penal, é visto como ato formal e procedimental, a fim de resguardar os princípios penais e constitucionais. Neste sentido, Norberto Avena afirma:</w:t>
      </w:r>
    </w:p>
    <w:p w14:paraId="0000003E" w14:textId="77777777" w:rsidR="009D470C" w:rsidRDefault="009D470C">
      <w:pPr>
        <w:spacing w:line="240" w:lineRule="auto"/>
        <w:ind w:firstLine="709"/>
        <w:jc w:val="both"/>
        <w:rPr>
          <w:sz w:val="24"/>
          <w:szCs w:val="24"/>
        </w:rPr>
      </w:pPr>
    </w:p>
    <w:p w14:paraId="0000003F" w14:textId="77777777" w:rsidR="009D470C" w:rsidRDefault="0031656B">
      <w:pPr>
        <w:spacing w:line="240" w:lineRule="auto"/>
        <w:ind w:left="2268"/>
        <w:jc w:val="both"/>
        <w:rPr>
          <w:sz w:val="24"/>
          <w:szCs w:val="24"/>
        </w:rPr>
      </w:pPr>
      <w:r>
        <w:rPr>
          <w:sz w:val="24"/>
          <w:szCs w:val="24"/>
        </w:rPr>
        <w:t>(...) por reconheci</w:t>
      </w:r>
      <w:r>
        <w:rPr>
          <w:sz w:val="24"/>
          <w:szCs w:val="24"/>
        </w:rPr>
        <w:t>mento de pessoas compreende-se o ato pelo qual não apenas vítimas ou testemunhas, mas também acusados ou investigados identificam terceira pessoa. Não se trata de ato informal, estabelecendo o art. 226 do CPP as formalidades de sua efetivação (AVENA, 2018,</w:t>
      </w:r>
      <w:r>
        <w:rPr>
          <w:sz w:val="24"/>
          <w:szCs w:val="24"/>
        </w:rPr>
        <w:t xml:space="preserve"> p. 652).</w:t>
      </w:r>
    </w:p>
    <w:p w14:paraId="00000040" w14:textId="77777777" w:rsidR="009D470C" w:rsidRDefault="009D470C">
      <w:pPr>
        <w:spacing w:line="240" w:lineRule="auto"/>
        <w:ind w:left="2880"/>
        <w:jc w:val="both"/>
        <w:rPr>
          <w:sz w:val="24"/>
          <w:szCs w:val="24"/>
        </w:rPr>
      </w:pPr>
    </w:p>
    <w:p w14:paraId="00000041" w14:textId="77777777" w:rsidR="009D470C" w:rsidRDefault="0031656B">
      <w:pPr>
        <w:spacing w:line="360" w:lineRule="auto"/>
        <w:ind w:firstLine="709"/>
        <w:jc w:val="both"/>
        <w:rPr>
          <w:sz w:val="24"/>
          <w:szCs w:val="24"/>
        </w:rPr>
      </w:pPr>
      <w:r>
        <w:rPr>
          <w:sz w:val="24"/>
          <w:szCs w:val="24"/>
        </w:rPr>
        <w:t xml:space="preserve">A partir da análise dos referidos artigos, podemos observar que se dispõem a minimizar a possibilidade de influências subjetivas ou sugestões que possam levar a um reconhecimento equivocado, enfatizando a necessidade de um processo imparcial e objetivo. </w:t>
      </w:r>
    </w:p>
    <w:p w14:paraId="00000042" w14:textId="77777777" w:rsidR="009D470C" w:rsidRDefault="0031656B">
      <w:pPr>
        <w:spacing w:line="360" w:lineRule="auto"/>
        <w:ind w:firstLine="709"/>
        <w:jc w:val="both"/>
        <w:rPr>
          <w:sz w:val="24"/>
          <w:szCs w:val="24"/>
        </w:rPr>
      </w:pPr>
      <w:r>
        <w:rPr>
          <w:sz w:val="24"/>
          <w:szCs w:val="24"/>
        </w:rPr>
        <w:t>O</w:t>
      </w:r>
      <w:r>
        <w:rPr>
          <w:sz w:val="24"/>
          <w:szCs w:val="24"/>
        </w:rPr>
        <w:t xml:space="preserve"> artigo 227 do CPP acrescenta outra camada de rigor, estipulando que, se houver múltiplas testemunhas, cada uma deverá realizar o reconhecimento separadamente. Por fim, o artigo 228 do Código de Processo Penal relata que “</w:t>
      </w:r>
      <w:r>
        <w:rPr>
          <w:i/>
          <w:sz w:val="24"/>
          <w:szCs w:val="24"/>
        </w:rPr>
        <w:t>se várias forem as pessoas chamada</w:t>
      </w:r>
      <w:r>
        <w:rPr>
          <w:i/>
          <w:sz w:val="24"/>
          <w:szCs w:val="24"/>
        </w:rPr>
        <w:t>s a efetuar o reconhecimento de pessoa ou de objeto, cada uma fará a prova em separado, evitando-se qualquer comunicação entre elas</w:t>
      </w:r>
      <w:r>
        <w:rPr>
          <w:sz w:val="24"/>
          <w:szCs w:val="24"/>
        </w:rPr>
        <w:t>.”</w:t>
      </w:r>
    </w:p>
    <w:p w14:paraId="00000043" w14:textId="77777777" w:rsidR="009D470C" w:rsidRDefault="009D470C">
      <w:pPr>
        <w:spacing w:line="360" w:lineRule="auto"/>
        <w:jc w:val="both"/>
        <w:rPr>
          <w:b/>
          <w:sz w:val="24"/>
          <w:szCs w:val="24"/>
        </w:rPr>
      </w:pPr>
    </w:p>
    <w:p w14:paraId="00000044" w14:textId="77777777" w:rsidR="009D470C" w:rsidRDefault="0031656B">
      <w:pPr>
        <w:spacing w:line="240" w:lineRule="auto"/>
        <w:rPr>
          <w:sz w:val="24"/>
          <w:szCs w:val="24"/>
        </w:rPr>
      </w:pPr>
      <w:r>
        <w:rPr>
          <w:sz w:val="24"/>
          <w:szCs w:val="24"/>
        </w:rPr>
        <w:lastRenderedPageBreak/>
        <w:t>3.2. DIRETRIZES PARA O RECONHECIMENTO FOTOGRÁFICO</w:t>
      </w:r>
    </w:p>
    <w:p w14:paraId="00000045" w14:textId="77777777" w:rsidR="009D470C" w:rsidRDefault="009D470C">
      <w:pPr>
        <w:spacing w:line="480" w:lineRule="auto"/>
        <w:rPr>
          <w:b/>
          <w:sz w:val="24"/>
          <w:szCs w:val="24"/>
        </w:rPr>
      </w:pPr>
    </w:p>
    <w:p w14:paraId="00000046" w14:textId="77777777" w:rsidR="009D470C" w:rsidRDefault="0031656B">
      <w:pPr>
        <w:spacing w:line="360" w:lineRule="auto"/>
        <w:ind w:firstLine="709"/>
        <w:jc w:val="both"/>
        <w:rPr>
          <w:sz w:val="24"/>
          <w:szCs w:val="24"/>
        </w:rPr>
      </w:pPr>
      <w:r>
        <w:rPr>
          <w:sz w:val="24"/>
          <w:szCs w:val="24"/>
        </w:rPr>
        <w:t>Segundo Araújo e Costa (2021, p. 657), não há previsão legal sobre o r</w:t>
      </w:r>
      <w:r>
        <w:rPr>
          <w:sz w:val="24"/>
          <w:szCs w:val="24"/>
        </w:rPr>
        <w:t>econhecimento fotográfico, sendo uma verdadeira prova inominada e atípica, entendendo os tribunais pela sua plena validade, desde que observados os procedimentos do art. 226 do CPP, em analogia, e que não seja o único meio de prova, isto é, que o reconheci</w:t>
      </w:r>
      <w:r>
        <w:rPr>
          <w:sz w:val="24"/>
          <w:szCs w:val="24"/>
        </w:rPr>
        <w:t>mento feito corrobore com as demais provas colhidas.</w:t>
      </w:r>
    </w:p>
    <w:p w14:paraId="00000047" w14:textId="77777777" w:rsidR="009D470C" w:rsidRDefault="0031656B">
      <w:pPr>
        <w:spacing w:line="360" w:lineRule="auto"/>
        <w:ind w:firstLine="709"/>
        <w:jc w:val="both"/>
        <w:rPr>
          <w:sz w:val="24"/>
          <w:szCs w:val="24"/>
        </w:rPr>
      </w:pPr>
      <w:r>
        <w:rPr>
          <w:sz w:val="24"/>
          <w:szCs w:val="24"/>
        </w:rPr>
        <w:t xml:space="preserve"> De acordo com as considerações de Nucci (2015, p. 243 - 244), estamos diante de um meio de prova inominado, mas lícito, uma vez que não viola explicitamente qualquer norma constitucional ou legal. No en</w:t>
      </w:r>
      <w:r>
        <w:rPr>
          <w:sz w:val="24"/>
          <w:szCs w:val="24"/>
        </w:rPr>
        <w:t>tanto, ele defende que o reconhecimento fotográfico não pode ter valor absoluto, sendo necessário examiná-lo com critério e cuidado, aplicando-o apenas quando for apropriado.</w:t>
      </w:r>
    </w:p>
    <w:p w14:paraId="00000048" w14:textId="77777777" w:rsidR="009D470C" w:rsidRDefault="0031656B">
      <w:pPr>
        <w:spacing w:line="360" w:lineRule="auto"/>
        <w:ind w:firstLine="709"/>
        <w:jc w:val="both"/>
        <w:rPr>
          <w:sz w:val="24"/>
          <w:szCs w:val="24"/>
        </w:rPr>
      </w:pPr>
      <w:r>
        <w:rPr>
          <w:sz w:val="24"/>
          <w:szCs w:val="24"/>
        </w:rPr>
        <w:t>Por outro lado, Aury Lopes Jr. (2023, p.582-586) sustenta uma perspectiva diferen</w:t>
      </w:r>
      <w:r>
        <w:rPr>
          <w:sz w:val="24"/>
          <w:szCs w:val="24"/>
        </w:rPr>
        <w:t>te, argumentando que admitir provas inominadas equivale a ludibriar o sistema legal. Ele considera o reconhecimento fotográfico como um meio de prova ilícito, defendendo sua inadmissibilidade no processo penal. O autor propõe que o reconhecimento fotográfi</w:t>
      </w:r>
      <w:r>
        <w:rPr>
          <w:sz w:val="24"/>
          <w:szCs w:val="24"/>
        </w:rPr>
        <w:t>co deve ser exclusivamente utilizado como uma etapa preparatória para o reconhecimento pessoal, conforme estabelecido no artigo 226, inciso I, do CPP, nunca substituindo-o ou sendo empregado como meio probatório sem denominação específica.</w:t>
      </w:r>
    </w:p>
    <w:p w14:paraId="00000049" w14:textId="77777777" w:rsidR="009D470C" w:rsidRDefault="0031656B">
      <w:pPr>
        <w:spacing w:line="360" w:lineRule="auto"/>
        <w:ind w:firstLine="709"/>
        <w:jc w:val="both"/>
        <w:rPr>
          <w:sz w:val="24"/>
          <w:szCs w:val="24"/>
        </w:rPr>
      </w:pPr>
      <w:r>
        <w:rPr>
          <w:sz w:val="24"/>
          <w:szCs w:val="24"/>
        </w:rPr>
        <w:t>Uma das principa</w:t>
      </w:r>
      <w:r>
        <w:rPr>
          <w:sz w:val="24"/>
          <w:szCs w:val="24"/>
        </w:rPr>
        <w:t xml:space="preserve">is preocupações no reconhecimento fotográfico é a seleção e apresentação das fotografias. As fotos devem ser escolhidas e apresentadas de forma imparcial, sem destacar o suspeito. Isto significa que as fotos apresentadas devem ser semelhantes em termos de </w:t>
      </w:r>
      <w:r>
        <w:rPr>
          <w:sz w:val="24"/>
          <w:szCs w:val="24"/>
        </w:rPr>
        <w:t>tamanho, qualidade e estilo, e as pessoas nelas retratadas devem ter características físicas comparáveis, para não afetar especificamente a testemunha. A neutralidade na apresentação das fotografias é vital. As testemunhas não devem receber quaisquer suges</w:t>
      </w:r>
      <w:r>
        <w:rPr>
          <w:sz w:val="24"/>
          <w:szCs w:val="24"/>
        </w:rPr>
        <w:t xml:space="preserve">tões, diretas ou indiretas, que possam influenciar sua escolha. </w:t>
      </w:r>
    </w:p>
    <w:p w14:paraId="0000004A" w14:textId="77777777" w:rsidR="009D470C" w:rsidRDefault="0031656B">
      <w:pPr>
        <w:spacing w:line="360" w:lineRule="auto"/>
        <w:ind w:firstLine="709"/>
        <w:jc w:val="both"/>
        <w:rPr>
          <w:sz w:val="24"/>
          <w:szCs w:val="24"/>
        </w:rPr>
      </w:pPr>
      <w:r>
        <w:rPr>
          <w:sz w:val="24"/>
          <w:szCs w:val="24"/>
        </w:rPr>
        <w:t>Além disso, o processo de reconhecimento fotográfico deve ser documentado detalhadamente, registrando-se como as fotografias foram apresentadas e as respostas das testemunhas, garantindo assi</w:t>
      </w:r>
      <w:r>
        <w:rPr>
          <w:sz w:val="24"/>
          <w:szCs w:val="24"/>
        </w:rPr>
        <w:t xml:space="preserve">m a transparência e a rastreabilidade do processo. Após o reconhecimento, é crucial obter uma declaração da testemunha sobre sua certeza de identidade. Esta etapa é essencial para avaliar o peso da prova no contexto mais amplo do processo penal. </w:t>
      </w:r>
    </w:p>
    <w:p w14:paraId="0000004B" w14:textId="77777777" w:rsidR="009D470C" w:rsidRDefault="0031656B">
      <w:pPr>
        <w:spacing w:line="360" w:lineRule="auto"/>
        <w:ind w:firstLine="709"/>
        <w:jc w:val="both"/>
        <w:rPr>
          <w:sz w:val="24"/>
          <w:szCs w:val="24"/>
          <w:highlight w:val="white"/>
        </w:rPr>
      </w:pPr>
      <w:r>
        <w:rPr>
          <w:sz w:val="24"/>
          <w:szCs w:val="24"/>
          <w:highlight w:val="white"/>
        </w:rPr>
        <w:lastRenderedPageBreak/>
        <w:t>Existindo</w:t>
      </w:r>
      <w:r>
        <w:rPr>
          <w:sz w:val="24"/>
          <w:szCs w:val="24"/>
          <w:highlight w:val="white"/>
        </w:rPr>
        <w:t xml:space="preserve"> mais de um suspeito, devem ser dispostos em alinhamentos   diferentes, sendo de grande importância informar a vítima/testemunha que talvez o   culpado não esteja no alinhamento, para que, assim, tal reconhecimento seja minimamente confiável e possa ser ut</w:t>
      </w:r>
      <w:r>
        <w:rPr>
          <w:sz w:val="24"/>
          <w:szCs w:val="24"/>
          <w:highlight w:val="white"/>
        </w:rPr>
        <w:t>ilizado caso outras provas venham a apontar a prática do delito pelo reconhecido. Até porque o uso de imagens apenas de suspeitos só aumentaria a probabilidade de falsos reconhecimentos (MATIDA; CECCONELLO, 2021).</w:t>
      </w:r>
    </w:p>
    <w:p w14:paraId="0000004C" w14:textId="77777777" w:rsidR="009D470C" w:rsidRDefault="0031656B">
      <w:pPr>
        <w:spacing w:line="360" w:lineRule="auto"/>
        <w:ind w:firstLine="709"/>
        <w:jc w:val="both"/>
        <w:rPr>
          <w:sz w:val="24"/>
          <w:szCs w:val="24"/>
          <w:highlight w:val="white"/>
        </w:rPr>
      </w:pPr>
      <w:r>
        <w:rPr>
          <w:sz w:val="24"/>
          <w:szCs w:val="24"/>
          <w:highlight w:val="white"/>
        </w:rPr>
        <w:t>A apresentação das fotos de forma aleatória revela que a própria sistemática utilizada no âmbito da persecução penal está fadada a contaminar não só  a  memória  da  vítima  como  a  instrução  probatória  no  processo  penal  e,  por conseguinte,  a  valo</w:t>
      </w:r>
      <w:r>
        <w:rPr>
          <w:sz w:val="24"/>
          <w:szCs w:val="24"/>
          <w:highlight w:val="white"/>
        </w:rPr>
        <w:t xml:space="preserve">ração  e  decisão  final  (EBERHARDT,  2016 </w:t>
      </w:r>
      <w:r>
        <w:rPr>
          <w:i/>
          <w:sz w:val="24"/>
          <w:szCs w:val="24"/>
          <w:highlight w:val="white"/>
        </w:rPr>
        <w:t>apud</w:t>
      </w:r>
      <w:r>
        <w:rPr>
          <w:sz w:val="24"/>
          <w:szCs w:val="24"/>
          <w:highlight w:val="white"/>
        </w:rPr>
        <w:t xml:space="preserve"> BIANCO;  SILVEIRA,  2019; MATIDA; NARDELLI, 2020).</w:t>
      </w:r>
    </w:p>
    <w:p w14:paraId="0000004D" w14:textId="77777777" w:rsidR="009D470C" w:rsidRDefault="009D470C">
      <w:pPr>
        <w:spacing w:line="360" w:lineRule="auto"/>
        <w:jc w:val="both"/>
        <w:rPr>
          <w:sz w:val="24"/>
          <w:szCs w:val="24"/>
          <w:highlight w:val="white"/>
        </w:rPr>
      </w:pPr>
    </w:p>
    <w:p w14:paraId="0000004E" w14:textId="77777777" w:rsidR="009D470C" w:rsidRDefault="0031656B">
      <w:pPr>
        <w:spacing w:line="480" w:lineRule="auto"/>
        <w:jc w:val="both"/>
        <w:rPr>
          <w:b/>
          <w:sz w:val="24"/>
          <w:szCs w:val="24"/>
        </w:rPr>
      </w:pPr>
      <w:r>
        <w:rPr>
          <w:b/>
          <w:sz w:val="24"/>
          <w:szCs w:val="24"/>
        </w:rPr>
        <w:t>4 EM BUSCA DE DECISÕES DOS TRIBUNAIS SUPERIORES</w:t>
      </w:r>
    </w:p>
    <w:p w14:paraId="0000004F" w14:textId="77777777" w:rsidR="009D470C" w:rsidRDefault="0031656B">
      <w:pPr>
        <w:spacing w:line="360" w:lineRule="auto"/>
        <w:ind w:firstLine="709"/>
        <w:jc w:val="both"/>
        <w:rPr>
          <w:sz w:val="24"/>
          <w:szCs w:val="24"/>
        </w:rPr>
      </w:pPr>
      <w:r>
        <w:rPr>
          <w:sz w:val="24"/>
          <w:szCs w:val="24"/>
        </w:rPr>
        <w:t>A metodologia utilizada no trabalho segue um procedimento detalhado e analítico, com foco na evolução da ju</w:t>
      </w:r>
      <w:r>
        <w:rPr>
          <w:sz w:val="24"/>
          <w:szCs w:val="24"/>
        </w:rPr>
        <w:t xml:space="preserve">risprudência relativa ao artigo 226 do Código de Processo Penal (CPP). </w:t>
      </w:r>
    </w:p>
    <w:p w14:paraId="00000050" w14:textId="77777777" w:rsidR="009D470C" w:rsidRDefault="0031656B">
      <w:pPr>
        <w:spacing w:line="360" w:lineRule="auto"/>
        <w:ind w:firstLine="709"/>
        <w:jc w:val="both"/>
        <w:rPr>
          <w:sz w:val="24"/>
          <w:szCs w:val="24"/>
        </w:rPr>
      </w:pPr>
      <w:r>
        <w:rPr>
          <w:sz w:val="24"/>
          <w:szCs w:val="24"/>
        </w:rPr>
        <w:t xml:space="preserve">Inicialmente, em 21 de outubro de 2023, foi realizada uma pesquisa no site oficial do Supremo Tribunal Federal (STF), através do link </w:t>
      </w:r>
      <w:hyperlink r:id="rId7">
        <w:r>
          <w:rPr>
            <w:sz w:val="24"/>
            <w:szCs w:val="24"/>
            <w:u w:val="single"/>
          </w:rPr>
          <w:t>http</w:t>
        </w:r>
        <w:r>
          <w:rPr>
            <w:sz w:val="24"/>
            <w:szCs w:val="24"/>
            <w:u w:val="single"/>
          </w:rPr>
          <w:t>s://portal.stf.jus.br/</w:t>
        </w:r>
      </w:hyperlink>
      <w:r>
        <w:rPr>
          <w:sz w:val="24"/>
          <w:szCs w:val="24"/>
        </w:rPr>
        <w:t>. Navegando pela seção "jurisprudência" no topo da tela e utilizando as palavras-chave "reconhecimento de pessoas, art. 226 código penal" para a pesquisa, foram identificados 77 resultados de acórdãos. Configurando o filtro localizado</w:t>
      </w:r>
      <w:r>
        <w:rPr>
          <w:sz w:val="24"/>
          <w:szCs w:val="24"/>
        </w:rPr>
        <w:t xml:space="preserve"> no canto superior esquerdo da tela, optou-se por exibir 10 decisões por página, o que resultou em um total de 8 páginas. A seleção foi configurada para exibir os processos mais recentes, assegurando assim a ordem cronológica das decisões. </w:t>
      </w:r>
    </w:p>
    <w:p w14:paraId="00000051" w14:textId="77777777" w:rsidR="009D470C" w:rsidRDefault="0031656B">
      <w:pPr>
        <w:spacing w:line="360" w:lineRule="auto"/>
        <w:ind w:firstLine="709"/>
        <w:jc w:val="both"/>
        <w:rPr>
          <w:sz w:val="24"/>
          <w:szCs w:val="24"/>
        </w:rPr>
      </w:pPr>
      <w:r>
        <w:rPr>
          <w:sz w:val="24"/>
          <w:szCs w:val="24"/>
        </w:rPr>
        <w:t>No mesmo dia, f</w:t>
      </w:r>
      <w:r>
        <w:rPr>
          <w:sz w:val="24"/>
          <w:szCs w:val="24"/>
        </w:rPr>
        <w:t xml:space="preserve">oram conduzidas pesquisas no site do Superior Tribunal de Justiça (STJ), utilizando o link </w:t>
      </w:r>
      <w:hyperlink r:id="rId8">
        <w:r>
          <w:rPr>
            <w:sz w:val="24"/>
            <w:szCs w:val="24"/>
            <w:u w:val="single"/>
          </w:rPr>
          <w:t>https://www.stj.jus.br/sites/portalp/Inicio</w:t>
        </w:r>
      </w:hyperlink>
      <w:r>
        <w:rPr>
          <w:sz w:val="24"/>
          <w:szCs w:val="24"/>
        </w:rPr>
        <w:t xml:space="preserve"> . Ao acessar o ícone "jurisprudência" e, em seguida, escol</w:t>
      </w:r>
      <w:r>
        <w:rPr>
          <w:sz w:val="24"/>
          <w:szCs w:val="24"/>
        </w:rPr>
        <w:t>her a opção "pesquisa pronta", uma ampla gama de temas relevantes no campo do Direito foi disponibilizada. Na parte esquerda da tela, o foco foi direcionado para o tema ao clicar na aba "DIREITO PROCESSUAL PENAL", resultando em 5 páginas que apresentavam 2</w:t>
      </w:r>
      <w:r>
        <w:rPr>
          <w:sz w:val="24"/>
          <w:szCs w:val="24"/>
        </w:rPr>
        <w:t>43 documentos organizados por temas.</w:t>
      </w:r>
    </w:p>
    <w:p w14:paraId="00000052" w14:textId="77777777" w:rsidR="009D470C" w:rsidRDefault="009D470C">
      <w:pPr>
        <w:spacing w:line="360" w:lineRule="auto"/>
        <w:ind w:firstLine="709"/>
        <w:jc w:val="both"/>
        <w:rPr>
          <w:sz w:val="24"/>
          <w:szCs w:val="24"/>
        </w:rPr>
      </w:pPr>
    </w:p>
    <w:p w14:paraId="00000053" w14:textId="77777777" w:rsidR="009D470C" w:rsidRDefault="0031656B">
      <w:pPr>
        <w:spacing w:line="360" w:lineRule="auto"/>
        <w:ind w:firstLine="709"/>
        <w:jc w:val="both"/>
        <w:rPr>
          <w:sz w:val="24"/>
          <w:szCs w:val="24"/>
        </w:rPr>
      </w:pPr>
      <w:r>
        <w:rPr>
          <w:sz w:val="24"/>
          <w:szCs w:val="24"/>
        </w:rPr>
        <w:lastRenderedPageBreak/>
        <w:t>Explorando a terceira página e selecionando a aba "INQUÉRITO POLICIAL", foi clicado no tema específico "Reconhecimento pessoal. Presencial ou por fotografia. Observância do procedimento legal previsto no art. 226 do Có</w:t>
      </w:r>
      <w:r>
        <w:rPr>
          <w:sz w:val="24"/>
          <w:szCs w:val="24"/>
        </w:rPr>
        <w:t xml:space="preserve">digo de Processo Penal". Isso proporcionou uma visão mais detalhada e direcionada aos documentos relacionados a esse tema específico. Na sequência pode-se acessar 97, sendo 10 em cada página. </w:t>
      </w:r>
    </w:p>
    <w:p w14:paraId="00000054" w14:textId="77777777" w:rsidR="009D470C" w:rsidRDefault="0031656B">
      <w:pPr>
        <w:spacing w:line="360" w:lineRule="auto"/>
        <w:ind w:firstLine="709"/>
        <w:jc w:val="both"/>
        <w:rPr>
          <w:sz w:val="24"/>
          <w:szCs w:val="24"/>
        </w:rPr>
      </w:pPr>
      <w:r>
        <w:rPr>
          <w:sz w:val="24"/>
          <w:szCs w:val="24"/>
        </w:rPr>
        <w:t>A partir dos resultados obtidos, procedeu-se à leitura do intei</w:t>
      </w:r>
      <w:r>
        <w:rPr>
          <w:sz w:val="24"/>
          <w:szCs w:val="24"/>
        </w:rPr>
        <w:t>ro teor de cada decisão. O foco era identificar aquelas que tinham relevância direta para o tema, em especial aquelas que indicavam uma mudança na interpretação do reconhecimento de pessoas conforme previsto no artigo 226 do CPP.</w:t>
      </w:r>
    </w:p>
    <w:p w14:paraId="00000055" w14:textId="77777777" w:rsidR="009D470C" w:rsidRDefault="0031656B">
      <w:pPr>
        <w:spacing w:line="360" w:lineRule="auto"/>
        <w:ind w:firstLine="709"/>
        <w:jc w:val="both"/>
        <w:rPr>
          <w:sz w:val="24"/>
          <w:szCs w:val="24"/>
        </w:rPr>
      </w:pPr>
      <w:r>
        <w:rPr>
          <w:sz w:val="24"/>
          <w:szCs w:val="24"/>
        </w:rPr>
        <w:t xml:space="preserve">Durante a triagem no site </w:t>
      </w:r>
      <w:r>
        <w:rPr>
          <w:sz w:val="24"/>
          <w:szCs w:val="24"/>
        </w:rPr>
        <w:t>do STF, foram excluídas decisões que não estavam relacionadas ao tema e ao artigo 226, bem como aquelas publicadas antes do ano de 2014. Como resultado, restaram apenas 12 decisões para análise nesta pesquisa. No que diz respeito ao STJ, nota-se que a gran</w:t>
      </w:r>
      <w:r>
        <w:rPr>
          <w:sz w:val="24"/>
          <w:szCs w:val="24"/>
        </w:rPr>
        <w:t xml:space="preserve">de maioria das decisões identificadas faz referência à jurisprudência HC 598886-SC, cujo relator é o Ministro </w:t>
      </w:r>
      <w:r>
        <w:rPr>
          <w:sz w:val="24"/>
          <w:szCs w:val="24"/>
          <w:shd w:val="clear" w:color="auto" w:fill="FCF9F6"/>
        </w:rPr>
        <w:t>Rogerio Schietti</w:t>
      </w:r>
      <w:r>
        <w:rPr>
          <w:sz w:val="24"/>
          <w:szCs w:val="24"/>
        </w:rPr>
        <w:t>, e foi publicada em 18/12/2020. Essa jurisprudência se destaca como uma fonte legislativa de referência para os acórdãos analisad</w:t>
      </w:r>
      <w:r>
        <w:rPr>
          <w:sz w:val="24"/>
          <w:szCs w:val="24"/>
        </w:rPr>
        <w:t xml:space="preserve">os. </w:t>
      </w:r>
    </w:p>
    <w:p w14:paraId="00000056" w14:textId="77777777" w:rsidR="009D470C" w:rsidRDefault="0031656B">
      <w:pPr>
        <w:spacing w:line="360" w:lineRule="auto"/>
        <w:ind w:firstLine="709"/>
        <w:jc w:val="both"/>
        <w:rPr>
          <w:sz w:val="24"/>
          <w:szCs w:val="24"/>
        </w:rPr>
      </w:pPr>
      <w:r>
        <w:rPr>
          <w:sz w:val="24"/>
          <w:szCs w:val="24"/>
        </w:rPr>
        <w:t xml:space="preserve">A pesquisa identificou uma evolução significativa na interpretação e aplicação do artigo 226 do CPP. Um exemplo notável foi a decisão RHC 125026 AgR, julgada em 23 de junho de 2015 pelo STF, que inicialmente tratou a expressão "se possível" do inciso </w:t>
      </w:r>
      <w:r>
        <w:rPr>
          <w:sz w:val="24"/>
          <w:szCs w:val="24"/>
        </w:rPr>
        <w:t>II do artigo como uma mera recomendação legislativa. Contudo, houve uma mudança de paradigma em 2020 com o HC 598.886 do STJ, onde a inobservância desse procedimento passou a ser considerada causa de nulidade da prova.</w:t>
      </w:r>
    </w:p>
    <w:p w14:paraId="00000057" w14:textId="77777777" w:rsidR="009D470C" w:rsidRDefault="0031656B">
      <w:pPr>
        <w:spacing w:line="360" w:lineRule="auto"/>
        <w:ind w:firstLine="709"/>
        <w:jc w:val="both"/>
        <w:rPr>
          <w:sz w:val="24"/>
          <w:szCs w:val="24"/>
        </w:rPr>
      </w:pPr>
      <w:r>
        <w:rPr>
          <w:sz w:val="24"/>
          <w:szCs w:val="24"/>
        </w:rPr>
        <w:t xml:space="preserve">Além da análise jurisprudencial, foi </w:t>
      </w:r>
      <w:r>
        <w:rPr>
          <w:sz w:val="24"/>
          <w:szCs w:val="24"/>
        </w:rPr>
        <w:t>realizada uma pesquisa doutrinária minuciosa, consultando obras de autores renomados. Essa pesquisa teve como objetivo proporcionar uma abordagem teórica e conceitual mais aprofundada sobre o tema.</w:t>
      </w:r>
      <w:r>
        <w:rPr>
          <w:b/>
          <w:sz w:val="24"/>
          <w:szCs w:val="24"/>
        </w:rPr>
        <w:t xml:space="preserve"> </w:t>
      </w:r>
      <w:r>
        <w:rPr>
          <w:sz w:val="24"/>
          <w:szCs w:val="24"/>
        </w:rPr>
        <w:t>O estudo focou em analisar as decisões e entendimentos a p</w:t>
      </w:r>
      <w:r>
        <w:rPr>
          <w:sz w:val="24"/>
          <w:szCs w:val="24"/>
        </w:rPr>
        <w:t>artir do ano de 2014, proporcionando uma visão abrangente das mudanças de entendimento ao longo deste período.</w:t>
      </w:r>
    </w:p>
    <w:p w14:paraId="00000058" w14:textId="77777777" w:rsidR="009D470C" w:rsidRDefault="0031656B">
      <w:pPr>
        <w:spacing w:line="360" w:lineRule="auto"/>
        <w:ind w:firstLine="709"/>
        <w:jc w:val="both"/>
        <w:rPr>
          <w:sz w:val="24"/>
          <w:szCs w:val="24"/>
        </w:rPr>
      </w:pPr>
      <w:r>
        <w:rPr>
          <w:sz w:val="24"/>
          <w:szCs w:val="24"/>
        </w:rPr>
        <w:t xml:space="preserve">A última etapa consistiu em interpretar e sintetizar as informações coletadas, destacando as principais mudanças jurisprudenciais e doutrinárias </w:t>
      </w:r>
      <w:r>
        <w:rPr>
          <w:sz w:val="24"/>
          <w:szCs w:val="24"/>
        </w:rPr>
        <w:t xml:space="preserve">no reconhecimento pessoal e fotográfico no âmbito penal, conforme refletido nas decisões dos tribunais superiores. Dessa forma, o estudo também se preocupou em contextualizar as decisões dentro de um panorama histórico e legal mais amplo, </w:t>
      </w:r>
      <w:r>
        <w:rPr>
          <w:sz w:val="24"/>
          <w:szCs w:val="24"/>
        </w:rPr>
        <w:lastRenderedPageBreak/>
        <w:t>considerando as m</w:t>
      </w:r>
      <w:r>
        <w:rPr>
          <w:sz w:val="24"/>
          <w:szCs w:val="24"/>
        </w:rPr>
        <w:t xml:space="preserve">udanças legislativas e os contextos sociais e políticos que podem ter influenciado as decisões judiciais. </w:t>
      </w:r>
    </w:p>
    <w:p w14:paraId="00000059" w14:textId="77777777" w:rsidR="009D470C" w:rsidRDefault="0031656B">
      <w:pPr>
        <w:spacing w:line="360" w:lineRule="auto"/>
        <w:ind w:firstLine="709"/>
        <w:jc w:val="both"/>
        <w:rPr>
          <w:sz w:val="24"/>
          <w:szCs w:val="24"/>
        </w:rPr>
      </w:pPr>
      <w:r>
        <w:rPr>
          <w:sz w:val="24"/>
          <w:szCs w:val="24"/>
        </w:rPr>
        <w:t>Uma análise crítica das decisões e da literatura existente foi realizada, questionando e refletindo sobre as implicações práticas e teóricas das muda</w:t>
      </w:r>
      <w:r>
        <w:rPr>
          <w:sz w:val="24"/>
          <w:szCs w:val="24"/>
        </w:rPr>
        <w:t>nças interpretativas. Esta análise incluiu uma avaliação da consistência das decisões com os princípios do direito penal e processual penal, bem como suas consequências para a prática jurídica.</w:t>
      </w:r>
    </w:p>
    <w:p w14:paraId="0000005A" w14:textId="77777777" w:rsidR="009D470C" w:rsidRDefault="009D470C">
      <w:pPr>
        <w:spacing w:line="480" w:lineRule="auto"/>
        <w:jc w:val="both"/>
        <w:rPr>
          <w:b/>
          <w:sz w:val="24"/>
          <w:szCs w:val="24"/>
        </w:rPr>
      </w:pPr>
    </w:p>
    <w:p w14:paraId="0000005B" w14:textId="77777777" w:rsidR="009D470C" w:rsidRDefault="0031656B">
      <w:pPr>
        <w:spacing w:line="480" w:lineRule="auto"/>
        <w:jc w:val="both"/>
        <w:rPr>
          <w:b/>
          <w:sz w:val="24"/>
          <w:szCs w:val="24"/>
        </w:rPr>
      </w:pPr>
      <w:r>
        <w:rPr>
          <w:b/>
          <w:sz w:val="24"/>
          <w:szCs w:val="24"/>
        </w:rPr>
        <w:t xml:space="preserve"> </w:t>
      </w:r>
      <w:r>
        <w:rPr>
          <w:sz w:val="24"/>
          <w:szCs w:val="24"/>
        </w:rPr>
        <w:t>ANÁLISE DE DECISÕES PROFERIDAS NOS TRIBUNAIS SUPERIORES</w:t>
      </w:r>
    </w:p>
    <w:p w14:paraId="0000005C" w14:textId="77777777" w:rsidR="009D470C" w:rsidRDefault="0031656B">
      <w:pPr>
        <w:spacing w:line="360" w:lineRule="auto"/>
        <w:ind w:firstLine="720"/>
        <w:jc w:val="both"/>
        <w:rPr>
          <w:sz w:val="24"/>
          <w:szCs w:val="24"/>
        </w:rPr>
      </w:pPr>
      <w:r>
        <w:rPr>
          <w:sz w:val="24"/>
          <w:szCs w:val="24"/>
        </w:rPr>
        <w:t>Dentre os marcos legais das decisões proferidas pelos tribunais superiores, a primeira que merece destaque é o Habeas Corpus 125.026, que teve como relatora a ministra Rosa Weber, cujo entendimento prevê que o inciso II, do artigo 226 do CPP não tem aplica</w:t>
      </w:r>
      <w:r>
        <w:rPr>
          <w:sz w:val="24"/>
          <w:szCs w:val="24"/>
        </w:rPr>
        <w:t>ção obrigatória, sendo assim, o significado do termo "se possível" prevalece. A decisão em comento introduziu uma flexibilidade prática no processo penal, reconhecendo que a recomendação de colocar outras pessoas ao lado do acusado durante o reconhecimento</w:t>
      </w:r>
      <w:r>
        <w:rPr>
          <w:sz w:val="24"/>
          <w:szCs w:val="24"/>
        </w:rPr>
        <w:t xml:space="preserve"> pessoal nem sempre é viável, sendo uma recomendação e não uma exigência. Esta decisão evidencia a adaptação do procedimento de reconhecimento às realidades práticas dos processos penais, mantendo a eficácia e a justiça do sistema jurídico.</w:t>
      </w:r>
    </w:p>
    <w:p w14:paraId="0000005D" w14:textId="77777777" w:rsidR="009D470C" w:rsidRDefault="0031656B">
      <w:pPr>
        <w:spacing w:line="360" w:lineRule="auto"/>
        <w:jc w:val="both"/>
        <w:rPr>
          <w:sz w:val="24"/>
          <w:szCs w:val="24"/>
        </w:rPr>
      </w:pPr>
      <w:r>
        <w:rPr>
          <w:sz w:val="24"/>
          <w:szCs w:val="24"/>
        </w:rPr>
        <w:t xml:space="preserve"> </w:t>
      </w:r>
      <w:r>
        <w:rPr>
          <w:sz w:val="24"/>
          <w:szCs w:val="24"/>
        </w:rPr>
        <w:tab/>
        <w:t>Em 2020, ocor</w:t>
      </w:r>
      <w:r>
        <w:rPr>
          <w:sz w:val="24"/>
          <w:szCs w:val="24"/>
        </w:rPr>
        <w:t>reu uma mudança significativa no entendimento do tema, a decisão do Superior Tribunal de Justiça no Habeas Corpus número 598.886/SC, julgada em 27 de outubro de 2020, sob a relatoria do Ministro Rogerio Schietti Cruz, trouxe uma interpretação significativa</w:t>
      </w:r>
      <w:r>
        <w:rPr>
          <w:sz w:val="24"/>
          <w:szCs w:val="24"/>
        </w:rPr>
        <w:t xml:space="preserve"> sobre o reconhecimento de pessoas no processo penal. Na decisão ele procurou estabelecer novos parâmetros, enfatizando que os incisos do artigo 226 são obrigatórios. </w:t>
      </w:r>
    </w:p>
    <w:p w14:paraId="0000005E" w14:textId="77777777" w:rsidR="009D470C" w:rsidRDefault="0031656B">
      <w:pPr>
        <w:spacing w:line="360" w:lineRule="auto"/>
        <w:ind w:firstLine="720"/>
        <w:jc w:val="both"/>
        <w:rPr>
          <w:sz w:val="24"/>
          <w:szCs w:val="24"/>
        </w:rPr>
      </w:pPr>
      <w:r>
        <w:rPr>
          <w:sz w:val="24"/>
          <w:szCs w:val="24"/>
        </w:rPr>
        <w:t xml:space="preserve">A decisão teve um impacto expressivo na jurisprudência, refletido nos registros do STJ. </w:t>
      </w:r>
      <w:r>
        <w:rPr>
          <w:sz w:val="24"/>
          <w:szCs w:val="24"/>
        </w:rPr>
        <w:t>No período entre outubro de 2020, quando a sentença foi proferida, e dezembro de 2022, foram contabilizados 28 acórdãos provenientes das duas turmas criminais, além de 61 decisões monocráticas. Essas decisões resultaram na absolvição de réus ou na revogaçã</w:t>
      </w:r>
      <w:r>
        <w:rPr>
          <w:sz w:val="24"/>
          <w:szCs w:val="24"/>
        </w:rPr>
        <w:t>o de prisões preventivas, atribuindo tais desfechos às irregularidades derivadas do reconhecimento pessoal conduzido em contrariedade ao CPP e, evidentemente, à interpretação de Schietti. Tais dados foram levantados pelo gabinete do próprio ministro.</w:t>
      </w:r>
    </w:p>
    <w:p w14:paraId="0000005F" w14:textId="77777777" w:rsidR="009D470C" w:rsidRDefault="0031656B">
      <w:pPr>
        <w:spacing w:line="360" w:lineRule="auto"/>
        <w:ind w:firstLine="720"/>
        <w:jc w:val="both"/>
        <w:rPr>
          <w:sz w:val="24"/>
          <w:szCs w:val="24"/>
        </w:rPr>
      </w:pPr>
      <w:r>
        <w:rPr>
          <w:sz w:val="24"/>
          <w:szCs w:val="24"/>
        </w:rPr>
        <w:lastRenderedPageBreak/>
        <w:t>As de</w:t>
      </w:r>
      <w:r>
        <w:rPr>
          <w:sz w:val="24"/>
          <w:szCs w:val="24"/>
        </w:rPr>
        <w:t>cisões judiciais em questão refletem um posicionamento cuidadoso e minucioso dos tribunais brasileiros quanto aos procedimentos de reconhecimento de suspeitos em processos penais. Eles demonstram uma forte orientação para garantir que todas as formalidades</w:t>
      </w:r>
      <w:r>
        <w:rPr>
          <w:sz w:val="24"/>
          <w:szCs w:val="24"/>
        </w:rPr>
        <w:t xml:space="preserve"> legais sejam cumpridas, especialmente no que tange ao reconhecimento de pessoas. Essa abordagem sugere uma preocupação em evitar erros judiciais decorrentes de reconhecimentos falhos ou procedimentos inadequados. Além disso, há uma clara ênfase na necessi</w:t>
      </w:r>
      <w:r>
        <w:rPr>
          <w:sz w:val="24"/>
          <w:szCs w:val="24"/>
        </w:rPr>
        <w:t>dade de corroboração de provas, diminuindo uma preferência por um conjunto robusto e diversificado de evidências antes de estabelecer a autoria de um delito.</w:t>
      </w:r>
    </w:p>
    <w:p w14:paraId="00000060" w14:textId="77777777" w:rsidR="009D470C" w:rsidRDefault="0031656B">
      <w:pPr>
        <w:spacing w:line="360" w:lineRule="auto"/>
        <w:ind w:firstLine="720"/>
        <w:jc w:val="both"/>
        <w:rPr>
          <w:sz w:val="24"/>
          <w:szCs w:val="24"/>
          <w:highlight w:val="white"/>
        </w:rPr>
      </w:pPr>
      <w:r>
        <w:rPr>
          <w:sz w:val="24"/>
          <w:szCs w:val="24"/>
        </w:rPr>
        <w:t>As decisões também ressaltam a importância de proteger os direitos dos acusados, evitando constran</w:t>
      </w:r>
      <w:r>
        <w:rPr>
          <w:sz w:val="24"/>
          <w:szCs w:val="24"/>
        </w:rPr>
        <w:t>gimentos ilegais que surjam de processos baseados em provas insuficientes ou coletadas de maneira inapropriada. Isso reflete um respeito aos princípios do contraditório e da ampla defesa, pilares fundamentais do sistema de justiça penal. Além disso, há uma</w:t>
      </w:r>
      <w:r>
        <w:rPr>
          <w:sz w:val="24"/>
          <w:szCs w:val="24"/>
        </w:rPr>
        <w:t xml:space="preserve"> cautela contra as instruções com base em uma única forma de prova, como o reconhecimento fotográfico, sem o suporte de outros elementos probatórios.</w:t>
      </w:r>
    </w:p>
    <w:p w14:paraId="00000061" w14:textId="77777777" w:rsidR="009D470C" w:rsidRDefault="0031656B">
      <w:pPr>
        <w:spacing w:line="240" w:lineRule="auto"/>
        <w:ind w:firstLine="720"/>
        <w:jc w:val="both"/>
        <w:rPr>
          <w:b/>
          <w:sz w:val="24"/>
          <w:szCs w:val="24"/>
          <w:highlight w:val="red"/>
        </w:rPr>
      </w:pPr>
      <w:r>
        <w:rPr>
          <w:sz w:val="24"/>
          <w:szCs w:val="24"/>
        </w:rPr>
        <w:t xml:space="preserve"> </w:t>
      </w:r>
    </w:p>
    <w:p w14:paraId="00000062" w14:textId="77777777" w:rsidR="009D470C" w:rsidRDefault="0031656B">
      <w:pPr>
        <w:spacing w:line="240" w:lineRule="auto"/>
        <w:jc w:val="both"/>
        <w:rPr>
          <w:b/>
          <w:sz w:val="24"/>
          <w:szCs w:val="24"/>
        </w:rPr>
      </w:pPr>
      <w:r>
        <w:rPr>
          <w:b/>
          <w:sz w:val="24"/>
          <w:szCs w:val="24"/>
        </w:rPr>
        <w:t>5 CONCLUSÃO</w:t>
      </w:r>
    </w:p>
    <w:p w14:paraId="00000063" w14:textId="77777777" w:rsidR="009D470C" w:rsidRDefault="009D470C">
      <w:pPr>
        <w:spacing w:line="240" w:lineRule="auto"/>
        <w:jc w:val="both"/>
        <w:rPr>
          <w:b/>
          <w:sz w:val="24"/>
          <w:szCs w:val="24"/>
        </w:rPr>
      </w:pPr>
    </w:p>
    <w:p w14:paraId="00000064" w14:textId="77777777" w:rsidR="009D470C" w:rsidRDefault="0031656B">
      <w:pPr>
        <w:spacing w:line="360" w:lineRule="auto"/>
        <w:ind w:firstLine="709"/>
        <w:jc w:val="both"/>
        <w:rPr>
          <w:sz w:val="24"/>
          <w:szCs w:val="24"/>
        </w:rPr>
      </w:pPr>
      <w:r>
        <w:rPr>
          <w:sz w:val="24"/>
          <w:szCs w:val="24"/>
        </w:rPr>
        <w:t>As decisões recentes dos tribunais superiores evidenciam uma crescente preocupação com a pr</w:t>
      </w:r>
      <w:r>
        <w:rPr>
          <w:sz w:val="24"/>
          <w:szCs w:val="24"/>
        </w:rPr>
        <w:t xml:space="preserve">ecisão e a justiça dos procedimentos de reconhecimento, sinalizando um movimento rumo a uma maior proteção dos direitos fundamentais e uma avaliação mais criteriosa das provas. </w:t>
      </w:r>
    </w:p>
    <w:p w14:paraId="00000065" w14:textId="77777777" w:rsidR="009D470C" w:rsidRDefault="0031656B">
      <w:pPr>
        <w:spacing w:line="360" w:lineRule="auto"/>
        <w:ind w:firstLine="709"/>
        <w:jc w:val="both"/>
        <w:rPr>
          <w:sz w:val="24"/>
          <w:szCs w:val="24"/>
        </w:rPr>
      </w:pPr>
      <w:r>
        <w:rPr>
          <w:sz w:val="24"/>
          <w:szCs w:val="24"/>
        </w:rPr>
        <w:t>Esta abordagem ressalta a necessidade de procedimentos específicos e controlad</w:t>
      </w:r>
      <w:r>
        <w:rPr>
          <w:sz w:val="24"/>
          <w:szCs w:val="24"/>
        </w:rPr>
        <w:t>os, minimizando a influência de fatores externos sobre a memória das testemunhas, além de enfatizar a importância da formação e capacitação dos profissionais de direito em áreas como a psicologia da memória.</w:t>
      </w:r>
    </w:p>
    <w:p w14:paraId="00000066" w14:textId="77777777" w:rsidR="009D470C" w:rsidRDefault="0031656B">
      <w:pPr>
        <w:spacing w:line="360" w:lineRule="auto"/>
        <w:ind w:firstLine="709"/>
        <w:jc w:val="both"/>
        <w:rPr>
          <w:sz w:val="24"/>
          <w:szCs w:val="24"/>
        </w:rPr>
      </w:pPr>
      <w:r>
        <w:rPr>
          <w:sz w:val="24"/>
          <w:szCs w:val="24"/>
        </w:rPr>
        <w:t>A adoção de uma perspectiva de garantia penal no tratamento dessas provas é crucial, exigindo um alto grau de escrutínio para evitar a transparência de direitos e injustiças. O papel dos advogados e defensores públicos, nesse contexto, é vital, pois são el</w:t>
      </w:r>
      <w:r>
        <w:rPr>
          <w:sz w:val="24"/>
          <w:szCs w:val="24"/>
        </w:rPr>
        <w:t>es que questionam a validade das provas de reconhecimento, trazendo à tona as suas limitações e riscos. A colaboração com especialistas de diversas áreas pode oferecer insights valiosos, contribuindo para julgamentos mais justos e fundamentados.</w:t>
      </w:r>
    </w:p>
    <w:p w14:paraId="00000067" w14:textId="77777777" w:rsidR="009D470C" w:rsidRDefault="0031656B">
      <w:pPr>
        <w:spacing w:line="360" w:lineRule="auto"/>
        <w:ind w:firstLine="709"/>
        <w:jc w:val="both"/>
        <w:rPr>
          <w:sz w:val="24"/>
          <w:szCs w:val="24"/>
        </w:rPr>
      </w:pPr>
      <w:r>
        <w:rPr>
          <w:sz w:val="24"/>
          <w:szCs w:val="24"/>
        </w:rPr>
        <w:lastRenderedPageBreak/>
        <w:t xml:space="preserve">A atuação </w:t>
      </w:r>
      <w:r>
        <w:rPr>
          <w:sz w:val="24"/>
          <w:szCs w:val="24"/>
        </w:rPr>
        <w:t>crítica do Ministério Público, como fiscal da lei, é igualmente essencial, garantindo a integridade e a justiça do processo penal. Medidas que aumentem a transparência e a objetividade nos processos de reconhecimento, bem como o registo desses procedimento</w:t>
      </w:r>
      <w:r>
        <w:rPr>
          <w:sz w:val="24"/>
          <w:szCs w:val="24"/>
        </w:rPr>
        <w:t>s, são passos importantes para garantir a legitimidade das provas.</w:t>
      </w:r>
    </w:p>
    <w:p w14:paraId="00000068" w14:textId="77777777" w:rsidR="009D470C" w:rsidRDefault="009D470C">
      <w:pPr>
        <w:spacing w:line="480" w:lineRule="auto"/>
        <w:ind w:firstLine="709"/>
        <w:jc w:val="both"/>
        <w:rPr>
          <w:sz w:val="24"/>
          <w:szCs w:val="24"/>
        </w:rPr>
      </w:pPr>
    </w:p>
    <w:p w14:paraId="00000069" w14:textId="77777777" w:rsidR="009D470C" w:rsidRDefault="0031656B">
      <w:pPr>
        <w:spacing w:line="480" w:lineRule="auto"/>
        <w:rPr>
          <w:b/>
          <w:sz w:val="24"/>
          <w:szCs w:val="24"/>
        </w:rPr>
      </w:pPr>
      <w:r>
        <w:rPr>
          <w:b/>
          <w:sz w:val="24"/>
          <w:szCs w:val="24"/>
        </w:rPr>
        <w:t>REFERÊNCIAS</w:t>
      </w:r>
    </w:p>
    <w:p w14:paraId="0000006A" w14:textId="77777777" w:rsidR="009D470C" w:rsidRDefault="009D470C">
      <w:pPr>
        <w:spacing w:line="240" w:lineRule="auto"/>
        <w:rPr>
          <w:sz w:val="24"/>
          <w:szCs w:val="24"/>
        </w:rPr>
      </w:pPr>
    </w:p>
    <w:p w14:paraId="0000006B" w14:textId="77777777" w:rsidR="009D470C" w:rsidRDefault="0031656B">
      <w:pPr>
        <w:spacing w:before="120" w:after="120" w:line="240" w:lineRule="auto"/>
        <w:rPr>
          <w:sz w:val="24"/>
          <w:szCs w:val="24"/>
        </w:rPr>
      </w:pPr>
      <w:r>
        <w:rPr>
          <w:sz w:val="24"/>
          <w:szCs w:val="24"/>
        </w:rPr>
        <w:t xml:space="preserve">ALBURQUEQUE, Igor Martim de. </w:t>
      </w:r>
      <w:r>
        <w:rPr>
          <w:b/>
          <w:sz w:val="24"/>
          <w:szCs w:val="24"/>
        </w:rPr>
        <w:t>A Influência das Falsas Memórias no Processo Penal.</w:t>
      </w:r>
      <w:r>
        <w:rPr>
          <w:sz w:val="24"/>
          <w:szCs w:val="24"/>
        </w:rPr>
        <w:t xml:space="preserve"> Trabalho de Conclusão de Curso – Universidade Federal do Rio de Janeiro. </w:t>
      </w:r>
    </w:p>
    <w:p w14:paraId="0000006C" w14:textId="77777777" w:rsidR="009D470C" w:rsidRDefault="009D470C">
      <w:pPr>
        <w:spacing w:before="120" w:after="120" w:line="240" w:lineRule="auto"/>
        <w:rPr>
          <w:sz w:val="24"/>
          <w:szCs w:val="24"/>
        </w:rPr>
      </w:pPr>
    </w:p>
    <w:p w14:paraId="0000006D" w14:textId="77777777" w:rsidR="009D470C" w:rsidRDefault="0031656B">
      <w:pPr>
        <w:spacing w:before="120" w:after="120" w:line="240" w:lineRule="auto"/>
        <w:rPr>
          <w:sz w:val="24"/>
          <w:szCs w:val="24"/>
        </w:rPr>
      </w:pPr>
      <w:r>
        <w:rPr>
          <w:sz w:val="24"/>
          <w:szCs w:val="24"/>
        </w:rPr>
        <w:t>ALMEIDA, Fernanda Buentes dos Santos</w:t>
      </w:r>
      <w:r>
        <w:rPr>
          <w:b/>
          <w:sz w:val="24"/>
          <w:szCs w:val="24"/>
        </w:rPr>
        <w:t>. Análise crítica acerca do reconhecimento como prova no processo penal.</w:t>
      </w:r>
      <w:r>
        <w:rPr>
          <w:sz w:val="24"/>
          <w:szCs w:val="24"/>
        </w:rPr>
        <w:t xml:space="preserve"> Rio de Janeiro: 2019. Monografia de final de curso. Departamento de Direito da Pontifícia. Universidade Católica do Rio de Janeiro – PUC-Rio.</w:t>
      </w:r>
    </w:p>
    <w:p w14:paraId="0000006E" w14:textId="77777777" w:rsidR="009D470C" w:rsidRDefault="009D470C">
      <w:pPr>
        <w:spacing w:before="120" w:after="120" w:line="240" w:lineRule="auto"/>
        <w:rPr>
          <w:sz w:val="24"/>
          <w:szCs w:val="24"/>
        </w:rPr>
      </w:pPr>
    </w:p>
    <w:p w14:paraId="0000006F" w14:textId="77777777" w:rsidR="009D470C" w:rsidRDefault="0031656B">
      <w:pPr>
        <w:spacing w:before="120" w:after="120" w:line="240" w:lineRule="auto"/>
        <w:rPr>
          <w:sz w:val="24"/>
          <w:szCs w:val="24"/>
        </w:rPr>
      </w:pPr>
      <w:r>
        <w:rPr>
          <w:sz w:val="24"/>
          <w:szCs w:val="24"/>
        </w:rPr>
        <w:t>AVEN</w:t>
      </w:r>
      <w:r>
        <w:rPr>
          <w:sz w:val="24"/>
          <w:szCs w:val="24"/>
        </w:rPr>
        <w:t xml:space="preserve">A, Norberto. </w:t>
      </w:r>
      <w:r>
        <w:rPr>
          <w:b/>
          <w:sz w:val="24"/>
          <w:szCs w:val="24"/>
        </w:rPr>
        <w:t>Processo Penal.</w:t>
      </w:r>
      <w:r>
        <w:rPr>
          <w:sz w:val="24"/>
          <w:szCs w:val="24"/>
        </w:rPr>
        <w:t xml:space="preserve"> 11ª ed. São Paulo: Forense, 2019.</w:t>
      </w:r>
    </w:p>
    <w:p w14:paraId="00000070" w14:textId="77777777" w:rsidR="009D470C" w:rsidRDefault="009D470C">
      <w:pPr>
        <w:spacing w:before="120" w:after="120" w:line="240" w:lineRule="auto"/>
        <w:rPr>
          <w:sz w:val="24"/>
          <w:szCs w:val="24"/>
        </w:rPr>
      </w:pPr>
    </w:p>
    <w:p w14:paraId="00000071" w14:textId="77777777" w:rsidR="009D470C" w:rsidRDefault="0031656B">
      <w:pPr>
        <w:spacing w:before="120" w:after="120" w:line="240" w:lineRule="auto"/>
        <w:rPr>
          <w:sz w:val="24"/>
          <w:szCs w:val="24"/>
        </w:rPr>
      </w:pPr>
      <w:r>
        <w:rPr>
          <w:sz w:val="24"/>
          <w:szCs w:val="24"/>
        </w:rPr>
        <w:t xml:space="preserve">ÁVILLA, Humberto. </w:t>
      </w:r>
      <w:r>
        <w:rPr>
          <w:b/>
          <w:sz w:val="24"/>
          <w:szCs w:val="24"/>
        </w:rPr>
        <w:t>Teoria dos Princípios: da definição à aplicação dos princípios jurídicos.</w:t>
      </w:r>
      <w:r>
        <w:rPr>
          <w:sz w:val="24"/>
          <w:szCs w:val="24"/>
        </w:rPr>
        <w:t xml:space="preserve"> 4ª ed. São Paulo: Malheiros Editores, 2005.</w:t>
      </w:r>
    </w:p>
    <w:p w14:paraId="00000072" w14:textId="77777777" w:rsidR="009D470C" w:rsidRDefault="009D470C">
      <w:pPr>
        <w:spacing w:before="120" w:after="120" w:line="240" w:lineRule="auto"/>
        <w:rPr>
          <w:sz w:val="24"/>
          <w:szCs w:val="24"/>
        </w:rPr>
      </w:pPr>
    </w:p>
    <w:p w14:paraId="00000073" w14:textId="77777777" w:rsidR="009D470C" w:rsidRDefault="0031656B">
      <w:pPr>
        <w:spacing w:before="120" w:after="120" w:line="240" w:lineRule="auto"/>
        <w:rPr>
          <w:sz w:val="24"/>
          <w:szCs w:val="24"/>
        </w:rPr>
      </w:pPr>
      <w:r>
        <w:rPr>
          <w:sz w:val="24"/>
          <w:szCs w:val="24"/>
        </w:rPr>
        <w:t xml:space="preserve">BADDELEY, Alan; ANDERSON, Michael; EYSENCK, Michael. </w:t>
      </w:r>
      <w:r>
        <w:rPr>
          <w:b/>
          <w:sz w:val="24"/>
          <w:szCs w:val="24"/>
        </w:rPr>
        <w:t>Me</w:t>
      </w:r>
      <w:r>
        <w:rPr>
          <w:b/>
          <w:sz w:val="24"/>
          <w:szCs w:val="24"/>
        </w:rPr>
        <w:t>mória.</w:t>
      </w:r>
      <w:r>
        <w:rPr>
          <w:sz w:val="24"/>
          <w:szCs w:val="24"/>
        </w:rPr>
        <w:t xml:space="preserve"> trad.: Cornélia Stolting. Porto Alegre: Artmed, 2011.</w:t>
      </w:r>
    </w:p>
    <w:p w14:paraId="00000074" w14:textId="77777777" w:rsidR="009D470C" w:rsidRDefault="009D470C">
      <w:pPr>
        <w:spacing w:before="120" w:after="120" w:line="240" w:lineRule="auto"/>
        <w:rPr>
          <w:sz w:val="24"/>
          <w:szCs w:val="24"/>
        </w:rPr>
      </w:pPr>
    </w:p>
    <w:p w14:paraId="00000075" w14:textId="77777777" w:rsidR="009D470C" w:rsidRDefault="0031656B">
      <w:pPr>
        <w:spacing w:before="120" w:after="120" w:line="240" w:lineRule="auto"/>
        <w:rPr>
          <w:sz w:val="24"/>
          <w:szCs w:val="24"/>
        </w:rPr>
      </w:pPr>
      <w:r>
        <w:rPr>
          <w:sz w:val="24"/>
          <w:szCs w:val="24"/>
        </w:rPr>
        <w:t xml:space="preserve">BRENTEL, CAMILA. </w:t>
      </w:r>
      <w:r>
        <w:rPr>
          <w:b/>
          <w:sz w:val="24"/>
          <w:szCs w:val="24"/>
        </w:rPr>
        <w:t>As Provas Não Repetíveis no Processo Penal Brasileiro.</w:t>
      </w:r>
      <w:r>
        <w:rPr>
          <w:sz w:val="24"/>
          <w:szCs w:val="24"/>
        </w:rPr>
        <w:t xml:space="preserve"> Dissertação de Mestrado – Faculdade de Direito da Universidade de São Paulo. São Paulo, 2012.</w:t>
      </w:r>
    </w:p>
    <w:p w14:paraId="00000076" w14:textId="77777777" w:rsidR="009D470C" w:rsidRDefault="009D470C">
      <w:pPr>
        <w:spacing w:before="120" w:after="120" w:line="240" w:lineRule="auto"/>
        <w:rPr>
          <w:sz w:val="24"/>
          <w:szCs w:val="24"/>
        </w:rPr>
      </w:pPr>
    </w:p>
    <w:p w14:paraId="00000077" w14:textId="77777777" w:rsidR="009D470C" w:rsidRDefault="0031656B">
      <w:pPr>
        <w:spacing w:before="120" w:after="120" w:line="240" w:lineRule="auto"/>
        <w:rPr>
          <w:sz w:val="24"/>
          <w:szCs w:val="24"/>
        </w:rPr>
      </w:pPr>
      <w:r>
        <w:rPr>
          <w:sz w:val="24"/>
          <w:szCs w:val="24"/>
        </w:rPr>
        <w:t>BRASIL. Decreto-Lei nº 3.68</w:t>
      </w:r>
      <w:r>
        <w:rPr>
          <w:sz w:val="24"/>
          <w:szCs w:val="24"/>
        </w:rPr>
        <w:t xml:space="preserve">9, de 3 de outubro de 1941. </w:t>
      </w:r>
      <w:r>
        <w:rPr>
          <w:b/>
          <w:sz w:val="24"/>
          <w:szCs w:val="24"/>
        </w:rPr>
        <w:t>Código de Processo Penal.</w:t>
      </w:r>
      <w:r>
        <w:rPr>
          <w:sz w:val="24"/>
          <w:szCs w:val="24"/>
        </w:rPr>
        <w:t xml:space="preserve"> Diário Oficial da República Federativa do Brasil, Poder Executivo, Brasília, DF, 13 out. 1941. Disponível em: https://www.planalto.gov.br/ccivil_03/decreto-lei/del3689.htm. Acesso em: 06/12/2023.</w:t>
      </w:r>
    </w:p>
    <w:p w14:paraId="00000078" w14:textId="77777777" w:rsidR="009D470C" w:rsidRDefault="009D470C">
      <w:pPr>
        <w:spacing w:before="120" w:after="120" w:line="240" w:lineRule="auto"/>
        <w:rPr>
          <w:sz w:val="24"/>
          <w:szCs w:val="24"/>
        </w:rPr>
      </w:pPr>
    </w:p>
    <w:p w14:paraId="00000079" w14:textId="77777777" w:rsidR="009D470C" w:rsidRDefault="0031656B">
      <w:pPr>
        <w:spacing w:before="120" w:after="120" w:line="240" w:lineRule="auto"/>
        <w:rPr>
          <w:sz w:val="24"/>
          <w:szCs w:val="24"/>
        </w:rPr>
      </w:pPr>
      <w:r>
        <w:rPr>
          <w:sz w:val="24"/>
          <w:szCs w:val="24"/>
        </w:rPr>
        <w:t>BRASI</w:t>
      </w:r>
      <w:r>
        <w:rPr>
          <w:sz w:val="24"/>
          <w:szCs w:val="24"/>
        </w:rPr>
        <w:t xml:space="preserve">L. Supremo Tribunal Federal. </w:t>
      </w:r>
      <w:r>
        <w:rPr>
          <w:b/>
          <w:sz w:val="24"/>
          <w:szCs w:val="24"/>
        </w:rPr>
        <w:t xml:space="preserve">Recurso em Habeas Corpus n. 125026 AgR. </w:t>
      </w:r>
      <w:r>
        <w:rPr>
          <w:sz w:val="24"/>
          <w:szCs w:val="24"/>
        </w:rPr>
        <w:t>Órgão julgador: Primeira Turma. Relator(a): Min. Rosa Weber. Julgamento: 23/06/2015. Publicação: 13/08/2015.</w:t>
      </w:r>
    </w:p>
    <w:p w14:paraId="0000007A" w14:textId="77777777" w:rsidR="009D470C" w:rsidRDefault="009D470C">
      <w:pPr>
        <w:spacing w:before="120" w:after="120" w:line="240" w:lineRule="auto"/>
        <w:rPr>
          <w:sz w:val="24"/>
          <w:szCs w:val="24"/>
        </w:rPr>
      </w:pPr>
    </w:p>
    <w:p w14:paraId="0000007B" w14:textId="77777777" w:rsidR="009D470C" w:rsidRDefault="0031656B">
      <w:pPr>
        <w:spacing w:before="120" w:after="120" w:line="240" w:lineRule="auto"/>
        <w:rPr>
          <w:sz w:val="24"/>
          <w:szCs w:val="24"/>
        </w:rPr>
      </w:pPr>
      <w:r>
        <w:rPr>
          <w:sz w:val="24"/>
          <w:szCs w:val="24"/>
        </w:rPr>
        <w:lastRenderedPageBreak/>
        <w:t xml:space="preserve">BRASIL. Supremo Tribunal de Justiça. </w:t>
      </w:r>
      <w:r>
        <w:rPr>
          <w:b/>
          <w:sz w:val="24"/>
          <w:szCs w:val="24"/>
        </w:rPr>
        <w:t>HC 598.886/SC</w:t>
      </w:r>
      <w:r>
        <w:rPr>
          <w:sz w:val="24"/>
          <w:szCs w:val="24"/>
        </w:rPr>
        <w:t>. Órgão Julgador: Sexta Tur</w:t>
      </w:r>
      <w:r>
        <w:rPr>
          <w:sz w:val="24"/>
          <w:szCs w:val="24"/>
        </w:rPr>
        <w:t>ma. Relator(a): Min. Rogério Schietti Cruz. Julgamento: 27/10/2020. Publicação: 18/12/2020.</w:t>
      </w:r>
    </w:p>
    <w:p w14:paraId="0000007C" w14:textId="77777777" w:rsidR="009D470C" w:rsidRDefault="009D470C">
      <w:pPr>
        <w:tabs>
          <w:tab w:val="left" w:pos="7680"/>
        </w:tabs>
        <w:spacing w:before="120" w:after="120" w:line="240" w:lineRule="auto"/>
        <w:rPr>
          <w:sz w:val="24"/>
          <w:szCs w:val="24"/>
        </w:rPr>
      </w:pPr>
    </w:p>
    <w:p w14:paraId="0000007D" w14:textId="77777777" w:rsidR="009D470C" w:rsidRDefault="0031656B">
      <w:pPr>
        <w:tabs>
          <w:tab w:val="left" w:pos="7680"/>
        </w:tabs>
        <w:spacing w:before="120" w:after="120" w:line="240" w:lineRule="auto"/>
        <w:rPr>
          <w:sz w:val="24"/>
          <w:szCs w:val="24"/>
        </w:rPr>
      </w:pPr>
      <w:r>
        <w:rPr>
          <w:sz w:val="24"/>
          <w:szCs w:val="24"/>
        </w:rPr>
        <w:t>BRENTEL, CAMILA</w:t>
      </w:r>
      <w:r>
        <w:rPr>
          <w:b/>
          <w:sz w:val="24"/>
          <w:szCs w:val="24"/>
        </w:rPr>
        <w:t xml:space="preserve">. As Provas Não Repetíveis no Processo Penal Brasileiro. </w:t>
      </w:r>
      <w:r>
        <w:rPr>
          <w:sz w:val="24"/>
          <w:szCs w:val="24"/>
        </w:rPr>
        <w:t>Dissertação de Mestrado – Faculdade de Direito da Universidade de São Paulo. São Paulo, 201</w:t>
      </w:r>
      <w:r>
        <w:rPr>
          <w:sz w:val="24"/>
          <w:szCs w:val="24"/>
        </w:rPr>
        <w:t>2.</w:t>
      </w:r>
    </w:p>
    <w:p w14:paraId="0000007E" w14:textId="77777777" w:rsidR="009D470C" w:rsidRDefault="009D470C">
      <w:pPr>
        <w:tabs>
          <w:tab w:val="left" w:pos="7680"/>
        </w:tabs>
        <w:spacing w:before="120" w:after="120" w:line="240" w:lineRule="auto"/>
        <w:rPr>
          <w:sz w:val="24"/>
          <w:szCs w:val="24"/>
        </w:rPr>
      </w:pPr>
    </w:p>
    <w:p w14:paraId="0000007F" w14:textId="77777777" w:rsidR="009D470C" w:rsidRDefault="0031656B">
      <w:pPr>
        <w:tabs>
          <w:tab w:val="left" w:pos="7680"/>
        </w:tabs>
        <w:spacing w:before="120" w:after="120" w:line="240" w:lineRule="auto"/>
        <w:rPr>
          <w:sz w:val="24"/>
          <w:szCs w:val="24"/>
        </w:rPr>
      </w:pPr>
      <w:r>
        <w:rPr>
          <w:sz w:val="24"/>
          <w:szCs w:val="24"/>
        </w:rPr>
        <w:t xml:space="preserve">CONRADO, Luccas. </w:t>
      </w:r>
      <w:r>
        <w:rPr>
          <w:b/>
          <w:sz w:val="24"/>
          <w:szCs w:val="24"/>
        </w:rPr>
        <w:t>Entendimento acerca do reconhecimento fotográfico.</w:t>
      </w:r>
      <w:r>
        <w:rPr>
          <w:sz w:val="24"/>
          <w:szCs w:val="24"/>
        </w:rPr>
        <w:t xml:space="preserve"> ConJur. Disponível em: https://www.conjur.com.br/2023-mar-18/luccas-conrado-entendimento-acerca-reconhecimento-fotografico/. Acesso em: 11 dez. 2023.</w:t>
      </w:r>
    </w:p>
    <w:p w14:paraId="00000080" w14:textId="77777777" w:rsidR="009D470C" w:rsidRDefault="009D470C">
      <w:pPr>
        <w:tabs>
          <w:tab w:val="left" w:pos="7680"/>
        </w:tabs>
        <w:spacing w:before="120" w:after="120" w:line="240" w:lineRule="auto"/>
        <w:rPr>
          <w:sz w:val="24"/>
          <w:szCs w:val="24"/>
        </w:rPr>
      </w:pPr>
    </w:p>
    <w:p w14:paraId="00000081" w14:textId="77777777" w:rsidR="009D470C" w:rsidRDefault="0031656B">
      <w:pPr>
        <w:tabs>
          <w:tab w:val="left" w:pos="7680"/>
        </w:tabs>
        <w:spacing w:before="120" w:after="120" w:line="240" w:lineRule="auto"/>
        <w:rPr>
          <w:sz w:val="24"/>
          <w:szCs w:val="24"/>
        </w:rPr>
      </w:pPr>
      <w:r>
        <w:rPr>
          <w:sz w:val="24"/>
          <w:szCs w:val="24"/>
        </w:rPr>
        <w:t xml:space="preserve">RODRIGUES, José Renato. </w:t>
      </w:r>
      <w:r>
        <w:rPr>
          <w:b/>
          <w:sz w:val="24"/>
          <w:szCs w:val="24"/>
        </w:rPr>
        <w:t>Reconheci</w:t>
      </w:r>
      <w:r>
        <w:rPr>
          <w:b/>
          <w:sz w:val="24"/>
          <w:szCs w:val="24"/>
        </w:rPr>
        <w:t xml:space="preserve">mento fotográfico no processo penal. </w:t>
      </w:r>
      <w:r>
        <w:rPr>
          <w:sz w:val="24"/>
          <w:szCs w:val="24"/>
        </w:rPr>
        <w:t>ConJur. Disponível em: https://www.conjur.com.br/2021-fev-26/rodrigues-reconhecimento-fotografico-processo-penal. Acesso em: 11 dez. 2023.</w:t>
      </w:r>
    </w:p>
    <w:p w14:paraId="00000082" w14:textId="77777777" w:rsidR="009D470C" w:rsidRDefault="009D470C">
      <w:pPr>
        <w:tabs>
          <w:tab w:val="left" w:pos="7680"/>
        </w:tabs>
        <w:spacing w:before="120" w:after="120" w:line="240" w:lineRule="auto"/>
        <w:rPr>
          <w:sz w:val="24"/>
          <w:szCs w:val="24"/>
        </w:rPr>
      </w:pPr>
    </w:p>
    <w:p w14:paraId="00000083" w14:textId="77777777" w:rsidR="009D470C" w:rsidRDefault="0031656B">
      <w:pPr>
        <w:tabs>
          <w:tab w:val="left" w:pos="7680"/>
        </w:tabs>
        <w:spacing w:before="120" w:after="120" w:line="240" w:lineRule="auto"/>
        <w:rPr>
          <w:sz w:val="24"/>
          <w:szCs w:val="24"/>
        </w:rPr>
      </w:pPr>
      <w:r>
        <w:rPr>
          <w:sz w:val="24"/>
          <w:szCs w:val="24"/>
        </w:rPr>
        <w:t xml:space="preserve">DI GESU, Cristina Carla; LOPES JR, Aury. </w:t>
      </w:r>
      <w:r>
        <w:rPr>
          <w:b/>
          <w:sz w:val="24"/>
          <w:szCs w:val="24"/>
        </w:rPr>
        <w:t>Falsas Memórias e Prova Testemunhal no</w:t>
      </w:r>
      <w:r>
        <w:rPr>
          <w:b/>
          <w:sz w:val="24"/>
          <w:szCs w:val="24"/>
        </w:rPr>
        <w:t xml:space="preserve"> Processo Penal: Em busca da Redução de Danos.</w:t>
      </w:r>
      <w:r>
        <w:rPr>
          <w:sz w:val="24"/>
          <w:szCs w:val="24"/>
        </w:rPr>
        <w:t xml:space="preserve"> Rio de Janeiro, 2008. Disponível em: </w:t>
      </w:r>
      <w:hyperlink r:id="rId9">
        <w:r>
          <w:rPr>
            <w:color w:val="0563C1"/>
            <w:sz w:val="24"/>
            <w:szCs w:val="24"/>
            <w:u w:val="single"/>
          </w:rPr>
          <w:t>http://www.bdr.sintese.com/AnexosPDF/RJ%20364%20%20Doutrina%20Penal.pdf</w:t>
        </w:r>
      </w:hyperlink>
      <w:r>
        <w:rPr>
          <w:sz w:val="24"/>
          <w:szCs w:val="24"/>
        </w:rPr>
        <w:t xml:space="preserve">. </w:t>
      </w:r>
    </w:p>
    <w:p w14:paraId="00000084" w14:textId="77777777" w:rsidR="009D470C" w:rsidRDefault="009D470C">
      <w:pPr>
        <w:tabs>
          <w:tab w:val="left" w:pos="7680"/>
        </w:tabs>
        <w:spacing w:before="120" w:after="120" w:line="240" w:lineRule="auto"/>
        <w:rPr>
          <w:sz w:val="24"/>
          <w:szCs w:val="24"/>
        </w:rPr>
      </w:pPr>
    </w:p>
    <w:p w14:paraId="00000085" w14:textId="77777777" w:rsidR="009D470C" w:rsidRDefault="0031656B">
      <w:pPr>
        <w:tabs>
          <w:tab w:val="left" w:pos="7680"/>
        </w:tabs>
        <w:spacing w:before="120" w:after="120" w:line="240" w:lineRule="auto"/>
        <w:rPr>
          <w:sz w:val="24"/>
          <w:szCs w:val="24"/>
        </w:rPr>
      </w:pPr>
      <w:r>
        <w:rPr>
          <w:sz w:val="24"/>
          <w:szCs w:val="24"/>
        </w:rPr>
        <w:t>IZQUIE</w:t>
      </w:r>
      <w:r>
        <w:rPr>
          <w:sz w:val="24"/>
          <w:szCs w:val="24"/>
        </w:rPr>
        <w:t xml:space="preserve">RDO, Ivan. </w:t>
      </w:r>
      <w:r>
        <w:rPr>
          <w:b/>
          <w:sz w:val="24"/>
          <w:szCs w:val="24"/>
        </w:rPr>
        <w:t xml:space="preserve">Memoria. </w:t>
      </w:r>
      <w:r>
        <w:rPr>
          <w:sz w:val="24"/>
          <w:szCs w:val="24"/>
        </w:rPr>
        <w:t xml:space="preserve">1ª ed. Porto Alegre: Artemed, 2006. </w:t>
      </w:r>
    </w:p>
    <w:p w14:paraId="00000086" w14:textId="77777777" w:rsidR="009D470C" w:rsidRDefault="009D470C">
      <w:pPr>
        <w:tabs>
          <w:tab w:val="left" w:pos="7680"/>
        </w:tabs>
        <w:spacing w:before="120" w:after="120" w:line="240" w:lineRule="auto"/>
        <w:rPr>
          <w:sz w:val="24"/>
          <w:szCs w:val="24"/>
        </w:rPr>
      </w:pPr>
    </w:p>
    <w:p w14:paraId="00000087" w14:textId="77777777" w:rsidR="009D470C" w:rsidRDefault="0031656B">
      <w:pPr>
        <w:tabs>
          <w:tab w:val="left" w:pos="7680"/>
        </w:tabs>
        <w:spacing w:before="120" w:after="120" w:line="240" w:lineRule="auto"/>
        <w:rPr>
          <w:sz w:val="24"/>
          <w:szCs w:val="24"/>
        </w:rPr>
      </w:pPr>
      <w:r>
        <w:rPr>
          <w:sz w:val="24"/>
          <w:szCs w:val="24"/>
        </w:rPr>
        <w:t xml:space="preserve">LIMA, Renato Brasileiro de. </w:t>
      </w:r>
      <w:r>
        <w:rPr>
          <w:b/>
          <w:sz w:val="24"/>
          <w:szCs w:val="24"/>
        </w:rPr>
        <w:t>Manual de Processo Penal: volume único.</w:t>
      </w:r>
      <w:r>
        <w:rPr>
          <w:sz w:val="24"/>
          <w:szCs w:val="24"/>
        </w:rPr>
        <w:t xml:space="preserve"> 8ª ed. rev., ampl. e atual. Salvador: JusPodivm, 2020.</w:t>
      </w:r>
    </w:p>
    <w:p w14:paraId="00000088" w14:textId="77777777" w:rsidR="009D470C" w:rsidRDefault="009D470C">
      <w:pPr>
        <w:tabs>
          <w:tab w:val="left" w:pos="7680"/>
        </w:tabs>
        <w:spacing w:before="120" w:after="120" w:line="240" w:lineRule="auto"/>
        <w:rPr>
          <w:sz w:val="24"/>
          <w:szCs w:val="24"/>
        </w:rPr>
      </w:pPr>
    </w:p>
    <w:p w14:paraId="00000089" w14:textId="77777777" w:rsidR="009D470C" w:rsidRDefault="0031656B">
      <w:pPr>
        <w:tabs>
          <w:tab w:val="left" w:pos="7680"/>
        </w:tabs>
        <w:spacing w:before="120" w:after="120" w:line="240" w:lineRule="auto"/>
        <w:rPr>
          <w:sz w:val="24"/>
          <w:szCs w:val="24"/>
        </w:rPr>
      </w:pPr>
      <w:r>
        <w:rPr>
          <w:sz w:val="24"/>
          <w:szCs w:val="24"/>
        </w:rPr>
        <w:t xml:space="preserve">LOPES JUNIOR, Aury. </w:t>
      </w:r>
      <w:r>
        <w:rPr>
          <w:b/>
          <w:sz w:val="24"/>
          <w:szCs w:val="24"/>
        </w:rPr>
        <w:t>Direito processual penal.</w:t>
      </w:r>
      <w:r>
        <w:rPr>
          <w:sz w:val="24"/>
          <w:szCs w:val="24"/>
        </w:rPr>
        <w:t xml:space="preserve"> 17ª ed. São Paulo: Saraiva, 2023.</w:t>
      </w:r>
    </w:p>
    <w:p w14:paraId="0000008A" w14:textId="77777777" w:rsidR="009D470C" w:rsidRDefault="009D470C">
      <w:pPr>
        <w:tabs>
          <w:tab w:val="left" w:pos="7680"/>
        </w:tabs>
        <w:spacing w:before="120" w:after="120" w:line="240" w:lineRule="auto"/>
        <w:rPr>
          <w:sz w:val="24"/>
          <w:szCs w:val="24"/>
        </w:rPr>
      </w:pPr>
    </w:p>
    <w:p w14:paraId="0000008B" w14:textId="77777777" w:rsidR="009D470C" w:rsidRDefault="0031656B">
      <w:pPr>
        <w:tabs>
          <w:tab w:val="left" w:pos="7680"/>
        </w:tabs>
        <w:spacing w:before="120" w:after="120" w:line="240" w:lineRule="auto"/>
        <w:rPr>
          <w:sz w:val="24"/>
          <w:szCs w:val="24"/>
        </w:rPr>
      </w:pPr>
      <w:r>
        <w:rPr>
          <w:sz w:val="24"/>
          <w:szCs w:val="24"/>
        </w:rPr>
        <w:t xml:space="preserve">LOPES JUNIOR, Aury. </w:t>
      </w:r>
      <w:r>
        <w:rPr>
          <w:b/>
          <w:sz w:val="24"/>
          <w:szCs w:val="24"/>
        </w:rPr>
        <w:t>Você confia na sua memória?</w:t>
      </w:r>
      <w:r>
        <w:rPr>
          <w:sz w:val="24"/>
          <w:szCs w:val="24"/>
        </w:rPr>
        <w:t xml:space="preserve"> Revista Consultor Jurídico, 2014. Parte 2. Disponível em &amp;lt; </w:t>
      </w:r>
      <w:hyperlink r:id="rId10">
        <w:r>
          <w:rPr>
            <w:color w:val="0563C1"/>
            <w:sz w:val="24"/>
            <w:szCs w:val="24"/>
            <w:u w:val="single"/>
          </w:rPr>
          <w:t>https://www.conjur.com.br/2014-out03/limite-penal-voce-confia-memoria-infelizmente-processo-penal-dependedela-parte&amp;gt</w:t>
        </w:r>
      </w:hyperlink>
      <w:r>
        <w:rPr>
          <w:sz w:val="24"/>
          <w:szCs w:val="24"/>
        </w:rPr>
        <w:t>;.</w:t>
      </w:r>
    </w:p>
    <w:p w14:paraId="0000008C" w14:textId="77777777" w:rsidR="009D470C" w:rsidRDefault="009D470C">
      <w:pPr>
        <w:tabs>
          <w:tab w:val="left" w:pos="7680"/>
        </w:tabs>
        <w:spacing w:before="120" w:after="120" w:line="240" w:lineRule="auto"/>
        <w:rPr>
          <w:sz w:val="24"/>
          <w:szCs w:val="24"/>
        </w:rPr>
      </w:pPr>
    </w:p>
    <w:p w14:paraId="0000008D" w14:textId="77777777" w:rsidR="009D470C" w:rsidRDefault="0031656B">
      <w:pPr>
        <w:tabs>
          <w:tab w:val="left" w:pos="7680"/>
        </w:tabs>
        <w:spacing w:before="120" w:after="120" w:line="240" w:lineRule="auto"/>
        <w:rPr>
          <w:sz w:val="24"/>
          <w:szCs w:val="24"/>
        </w:rPr>
      </w:pPr>
      <w:r>
        <w:rPr>
          <w:sz w:val="24"/>
          <w:szCs w:val="24"/>
        </w:rPr>
        <w:t xml:space="preserve">LOPES JUNIOR, Aury; OLIVEIRA, Jhonatan. </w:t>
      </w:r>
      <w:r>
        <w:rPr>
          <w:b/>
          <w:sz w:val="24"/>
          <w:szCs w:val="24"/>
        </w:rPr>
        <w:t>A influência do racismo estrutural no  uso do reconhecimento fotográfico como meio de prova.</w:t>
      </w:r>
      <w:r>
        <w:rPr>
          <w:sz w:val="24"/>
          <w:szCs w:val="24"/>
        </w:rPr>
        <w:t xml:space="preserve"> Disponível em: </w:t>
      </w:r>
      <w:hyperlink r:id="rId11">
        <w:r>
          <w:rPr>
            <w:color w:val="0563C1"/>
            <w:sz w:val="24"/>
            <w:szCs w:val="24"/>
            <w:u w:val="single"/>
          </w:rPr>
          <w:t>https://www.conjur.com</w:t>
        </w:r>
        <w:r>
          <w:rPr>
            <w:color w:val="0563C1"/>
            <w:sz w:val="24"/>
            <w:szCs w:val="24"/>
            <w:u w:val="single"/>
          </w:rPr>
          <w:t>.br/2022-jan-14/limite-penal-racismo-estruturalreconhecimento-fotografico-meio-prova</w:t>
        </w:r>
      </w:hyperlink>
      <w:r>
        <w:rPr>
          <w:sz w:val="24"/>
          <w:szCs w:val="24"/>
        </w:rPr>
        <w:t xml:space="preserve">. </w:t>
      </w:r>
    </w:p>
    <w:p w14:paraId="0000008E" w14:textId="77777777" w:rsidR="009D470C" w:rsidRDefault="009D470C">
      <w:pPr>
        <w:tabs>
          <w:tab w:val="left" w:pos="7680"/>
        </w:tabs>
        <w:spacing w:before="120" w:after="120" w:line="240" w:lineRule="auto"/>
        <w:rPr>
          <w:sz w:val="24"/>
          <w:szCs w:val="24"/>
        </w:rPr>
      </w:pPr>
    </w:p>
    <w:p w14:paraId="0000008F" w14:textId="77777777" w:rsidR="009D470C" w:rsidRDefault="0031656B">
      <w:pPr>
        <w:tabs>
          <w:tab w:val="left" w:pos="7680"/>
        </w:tabs>
        <w:spacing w:before="120" w:after="120" w:line="240" w:lineRule="auto"/>
        <w:rPr>
          <w:sz w:val="24"/>
          <w:szCs w:val="24"/>
        </w:rPr>
      </w:pPr>
      <w:r>
        <w:rPr>
          <w:sz w:val="24"/>
          <w:szCs w:val="24"/>
        </w:rPr>
        <w:t xml:space="preserve">NUCCI, Guilherme de Souza. </w:t>
      </w:r>
      <w:r>
        <w:rPr>
          <w:b/>
          <w:sz w:val="24"/>
          <w:szCs w:val="24"/>
        </w:rPr>
        <w:t>Curso de Direito Processual Penal.</w:t>
      </w:r>
      <w:r>
        <w:rPr>
          <w:sz w:val="24"/>
          <w:szCs w:val="24"/>
        </w:rPr>
        <w:t xml:space="preserve"> 17ª ed. Rio de</w:t>
      </w:r>
    </w:p>
    <w:p w14:paraId="00000090" w14:textId="77777777" w:rsidR="009D470C" w:rsidRDefault="0031656B">
      <w:pPr>
        <w:tabs>
          <w:tab w:val="left" w:pos="7680"/>
        </w:tabs>
        <w:spacing w:before="120" w:after="120" w:line="240" w:lineRule="auto"/>
        <w:rPr>
          <w:sz w:val="24"/>
          <w:szCs w:val="24"/>
        </w:rPr>
      </w:pPr>
      <w:r>
        <w:rPr>
          <w:sz w:val="24"/>
          <w:szCs w:val="24"/>
        </w:rPr>
        <w:t>Janeiro: Forense, 2020.</w:t>
      </w:r>
    </w:p>
    <w:p w14:paraId="00000091" w14:textId="77777777" w:rsidR="009D470C" w:rsidRDefault="009D470C">
      <w:pPr>
        <w:tabs>
          <w:tab w:val="left" w:pos="7680"/>
        </w:tabs>
        <w:spacing w:before="120" w:after="120" w:line="240" w:lineRule="auto"/>
        <w:rPr>
          <w:sz w:val="24"/>
          <w:szCs w:val="24"/>
        </w:rPr>
      </w:pPr>
    </w:p>
    <w:p w14:paraId="00000092" w14:textId="77777777" w:rsidR="009D470C" w:rsidRDefault="0031656B">
      <w:pPr>
        <w:tabs>
          <w:tab w:val="left" w:pos="7680"/>
        </w:tabs>
        <w:spacing w:before="120" w:after="120" w:line="240" w:lineRule="auto"/>
        <w:rPr>
          <w:sz w:val="24"/>
          <w:szCs w:val="24"/>
        </w:rPr>
      </w:pPr>
      <w:r>
        <w:rPr>
          <w:sz w:val="24"/>
          <w:szCs w:val="24"/>
        </w:rPr>
        <w:t xml:space="preserve">MATIDA, Janaina; CECCONELLO, William Weber. </w:t>
      </w:r>
      <w:r>
        <w:rPr>
          <w:b/>
          <w:sz w:val="24"/>
          <w:szCs w:val="24"/>
        </w:rPr>
        <w:t>Reconhecimento fotográ</w:t>
      </w:r>
      <w:r>
        <w:rPr>
          <w:b/>
          <w:sz w:val="24"/>
          <w:szCs w:val="24"/>
        </w:rPr>
        <w:t>fico e presunção de inocência.</w:t>
      </w:r>
      <w:r>
        <w:rPr>
          <w:sz w:val="24"/>
          <w:szCs w:val="24"/>
        </w:rPr>
        <w:t xml:space="preserve"> Revista Brasileira de Direito Processual Penal. v. 7, n. 1, p. 409-432, jan./abr. 2021. DOI: 10.22197/rbdpp.v7i1.506. Disponível em: </w:t>
      </w:r>
      <w:hyperlink r:id="rId12">
        <w:r>
          <w:rPr>
            <w:color w:val="0000FF"/>
            <w:sz w:val="24"/>
            <w:szCs w:val="24"/>
            <w:u w:val="single"/>
          </w:rPr>
          <w:t>https://revista.ibr</w:t>
        </w:r>
        <w:r>
          <w:rPr>
            <w:color w:val="0000FF"/>
            <w:sz w:val="24"/>
            <w:szCs w:val="24"/>
            <w:u w:val="single"/>
          </w:rPr>
          <w:t>aspp.com.br/RBDPP/article/view/506</w:t>
        </w:r>
      </w:hyperlink>
      <w:r>
        <w:rPr>
          <w:sz w:val="24"/>
          <w:szCs w:val="24"/>
        </w:rPr>
        <w:t xml:space="preserve">. Acesso em: 21/10/2023. </w:t>
      </w:r>
    </w:p>
    <w:p w14:paraId="00000093" w14:textId="77777777" w:rsidR="009D470C" w:rsidRDefault="009D470C">
      <w:pPr>
        <w:tabs>
          <w:tab w:val="left" w:pos="7680"/>
        </w:tabs>
        <w:spacing w:before="120" w:after="120" w:line="240" w:lineRule="auto"/>
        <w:rPr>
          <w:sz w:val="24"/>
          <w:szCs w:val="24"/>
        </w:rPr>
      </w:pPr>
    </w:p>
    <w:p w14:paraId="00000094" w14:textId="77777777" w:rsidR="009D470C" w:rsidRDefault="0031656B">
      <w:pPr>
        <w:tabs>
          <w:tab w:val="left" w:pos="7680"/>
        </w:tabs>
        <w:spacing w:before="120" w:after="120" w:line="240" w:lineRule="auto"/>
        <w:rPr>
          <w:sz w:val="24"/>
          <w:szCs w:val="24"/>
        </w:rPr>
      </w:pPr>
      <w:r>
        <w:rPr>
          <w:sz w:val="24"/>
          <w:szCs w:val="24"/>
        </w:rPr>
        <w:t xml:space="preserve">OLIVEIRA, Eugênio Pacelli de. </w:t>
      </w:r>
      <w:r>
        <w:rPr>
          <w:b/>
          <w:sz w:val="24"/>
          <w:szCs w:val="24"/>
        </w:rPr>
        <w:t xml:space="preserve">Curso de Processo Penal. </w:t>
      </w:r>
      <w:r>
        <w:rPr>
          <w:sz w:val="24"/>
          <w:szCs w:val="24"/>
        </w:rPr>
        <w:t>24ª ed. São Paulo: Atlas, 2020.</w:t>
      </w:r>
    </w:p>
    <w:p w14:paraId="00000095" w14:textId="77777777" w:rsidR="009D470C" w:rsidRDefault="009D470C">
      <w:pPr>
        <w:tabs>
          <w:tab w:val="left" w:pos="7680"/>
        </w:tabs>
        <w:spacing w:before="120" w:after="120" w:line="240" w:lineRule="auto"/>
        <w:rPr>
          <w:sz w:val="24"/>
          <w:szCs w:val="24"/>
        </w:rPr>
      </w:pPr>
    </w:p>
    <w:p w14:paraId="00000096" w14:textId="77777777" w:rsidR="009D470C" w:rsidRDefault="0031656B">
      <w:pPr>
        <w:tabs>
          <w:tab w:val="left" w:pos="7680"/>
        </w:tabs>
        <w:spacing w:before="120" w:after="120" w:line="240" w:lineRule="auto"/>
        <w:rPr>
          <w:sz w:val="24"/>
          <w:szCs w:val="24"/>
        </w:rPr>
      </w:pPr>
      <w:r>
        <w:rPr>
          <w:sz w:val="24"/>
          <w:szCs w:val="24"/>
        </w:rPr>
        <w:t xml:space="preserve">RANGEL, Paulo. </w:t>
      </w:r>
      <w:r>
        <w:rPr>
          <w:b/>
          <w:sz w:val="24"/>
          <w:szCs w:val="24"/>
        </w:rPr>
        <w:t>Direito Processual Penal.</w:t>
      </w:r>
      <w:r>
        <w:rPr>
          <w:sz w:val="24"/>
          <w:szCs w:val="24"/>
        </w:rPr>
        <w:t xml:space="preserve"> 23ª ed. São Paulo: Atlas, 2015</w:t>
      </w:r>
    </w:p>
    <w:p w14:paraId="00000097" w14:textId="77777777" w:rsidR="009D470C" w:rsidRDefault="009D470C">
      <w:pPr>
        <w:tabs>
          <w:tab w:val="left" w:pos="7680"/>
        </w:tabs>
        <w:spacing w:before="120" w:after="120" w:line="240" w:lineRule="auto"/>
        <w:rPr>
          <w:sz w:val="24"/>
          <w:szCs w:val="24"/>
        </w:rPr>
      </w:pPr>
    </w:p>
    <w:p w14:paraId="00000098" w14:textId="77777777" w:rsidR="009D470C" w:rsidRDefault="0031656B">
      <w:pPr>
        <w:tabs>
          <w:tab w:val="left" w:pos="7680"/>
        </w:tabs>
        <w:spacing w:before="120" w:after="120" w:line="240" w:lineRule="auto"/>
        <w:rPr>
          <w:sz w:val="24"/>
          <w:szCs w:val="24"/>
        </w:rPr>
      </w:pPr>
      <w:r>
        <w:rPr>
          <w:sz w:val="24"/>
          <w:szCs w:val="24"/>
        </w:rPr>
        <w:t xml:space="preserve">STEIN, Lílian Milnilsky; PERGHER, </w:t>
      </w:r>
      <w:r>
        <w:rPr>
          <w:sz w:val="24"/>
          <w:szCs w:val="24"/>
        </w:rPr>
        <w:t xml:space="preserve">Giovanni Kuckartz. </w:t>
      </w:r>
      <w:r>
        <w:rPr>
          <w:b/>
          <w:sz w:val="24"/>
          <w:szCs w:val="24"/>
        </w:rPr>
        <w:t>Criando falsas memórias em adultos por meio de palavras associadas.</w:t>
      </w:r>
      <w:r>
        <w:rPr>
          <w:sz w:val="24"/>
          <w:szCs w:val="24"/>
        </w:rPr>
        <w:t xml:space="preserve"> Porto Alegre, 2001.</w:t>
      </w:r>
    </w:p>
    <w:p w14:paraId="00000099" w14:textId="77777777" w:rsidR="009D470C" w:rsidRDefault="009D470C">
      <w:pPr>
        <w:tabs>
          <w:tab w:val="left" w:pos="7680"/>
        </w:tabs>
        <w:spacing w:before="120" w:after="120" w:line="240" w:lineRule="auto"/>
        <w:rPr>
          <w:sz w:val="24"/>
          <w:szCs w:val="24"/>
        </w:rPr>
      </w:pPr>
    </w:p>
    <w:p w14:paraId="0000009A" w14:textId="77777777" w:rsidR="009D470C" w:rsidRDefault="0031656B">
      <w:pPr>
        <w:tabs>
          <w:tab w:val="left" w:pos="7680"/>
        </w:tabs>
        <w:spacing w:before="120" w:after="120" w:line="240" w:lineRule="auto"/>
        <w:rPr>
          <w:sz w:val="24"/>
          <w:szCs w:val="24"/>
        </w:rPr>
      </w:pPr>
      <w:r>
        <w:rPr>
          <w:sz w:val="24"/>
          <w:szCs w:val="24"/>
        </w:rPr>
        <w:t xml:space="preserve">WILLIANS, Anna Virginia. </w:t>
      </w:r>
      <w:r>
        <w:rPr>
          <w:b/>
          <w:sz w:val="24"/>
          <w:szCs w:val="24"/>
        </w:rPr>
        <w:t>Implicações Psicológicas no reconhecimento de suspeitos: avaliando o efeito da emoção na memória de testemunhas oculares.</w:t>
      </w:r>
      <w:r>
        <w:rPr>
          <w:sz w:val="24"/>
          <w:szCs w:val="24"/>
        </w:rPr>
        <w:t xml:space="preserve"> T</w:t>
      </w:r>
      <w:r>
        <w:rPr>
          <w:sz w:val="24"/>
          <w:szCs w:val="24"/>
        </w:rPr>
        <w:t>rabalho de Conclusão de Curso – Pontifícia Universidade Católica do Rio Grande do Sul. Porto alegre, 2003.</w:t>
      </w:r>
    </w:p>
    <w:p w14:paraId="0000009B" w14:textId="77777777" w:rsidR="009D470C" w:rsidRDefault="009D470C">
      <w:pPr>
        <w:spacing w:before="120" w:after="120" w:line="240" w:lineRule="auto"/>
        <w:rPr>
          <w:sz w:val="24"/>
          <w:szCs w:val="24"/>
        </w:rPr>
      </w:pPr>
    </w:p>
    <w:p w14:paraId="0000009C" w14:textId="77777777" w:rsidR="009D470C" w:rsidRDefault="0031656B">
      <w:pPr>
        <w:spacing w:before="120" w:after="120" w:line="240" w:lineRule="auto"/>
        <w:rPr>
          <w:sz w:val="24"/>
          <w:szCs w:val="24"/>
        </w:rPr>
      </w:pPr>
      <w:r>
        <w:rPr>
          <w:sz w:val="24"/>
          <w:szCs w:val="24"/>
        </w:rPr>
        <w:t xml:space="preserve">COSTA, Vanessa Grangeiro da. </w:t>
      </w:r>
      <w:r>
        <w:rPr>
          <w:b/>
          <w:sz w:val="24"/>
          <w:szCs w:val="24"/>
        </w:rPr>
        <w:t>O reconhecimento fotográfico sob suspeita: perspectivas processuais da inobservância do procedimento previsto no artigo</w:t>
      </w:r>
      <w:r>
        <w:rPr>
          <w:b/>
          <w:sz w:val="24"/>
          <w:szCs w:val="24"/>
        </w:rPr>
        <w:t xml:space="preserve"> 226 do CPP</w:t>
      </w:r>
      <w:r>
        <w:rPr>
          <w:sz w:val="24"/>
          <w:szCs w:val="24"/>
        </w:rPr>
        <w:t>. Vanessa Grangeiro da Costa. – 2022. 44 f.</w:t>
      </w:r>
    </w:p>
    <w:p w14:paraId="0000009D" w14:textId="77777777" w:rsidR="009D470C" w:rsidRDefault="009D470C">
      <w:pPr>
        <w:spacing w:before="120" w:after="120" w:line="240" w:lineRule="auto"/>
        <w:rPr>
          <w:sz w:val="24"/>
          <w:szCs w:val="24"/>
        </w:rPr>
      </w:pPr>
    </w:p>
    <w:p w14:paraId="0000009E" w14:textId="77777777" w:rsidR="009D470C" w:rsidRDefault="0031656B">
      <w:pPr>
        <w:spacing w:before="120" w:after="120" w:line="240" w:lineRule="auto"/>
        <w:rPr>
          <w:sz w:val="24"/>
          <w:szCs w:val="24"/>
        </w:rPr>
      </w:pPr>
      <w:r>
        <w:rPr>
          <w:sz w:val="24"/>
          <w:szCs w:val="24"/>
        </w:rPr>
        <w:t xml:space="preserve">SILVA, Bruna Dias Silva e. </w:t>
      </w:r>
      <w:r>
        <w:rPr>
          <w:b/>
          <w:sz w:val="24"/>
          <w:szCs w:val="24"/>
        </w:rPr>
        <w:t>A (i)licitude da condenação criminal por meio do reconhecimento fotográfico como meio de prova no processo penal brasileiro.</w:t>
      </w:r>
      <w:r>
        <w:rPr>
          <w:sz w:val="24"/>
          <w:szCs w:val="24"/>
        </w:rPr>
        <w:t xml:space="preserve"> Bruna Dias Silva e Silva. – 2021.</w:t>
      </w:r>
    </w:p>
    <w:p w14:paraId="0000009F" w14:textId="77777777" w:rsidR="009D470C" w:rsidRDefault="009D470C">
      <w:pPr>
        <w:spacing w:line="360" w:lineRule="auto"/>
        <w:jc w:val="both"/>
        <w:rPr>
          <w:sz w:val="24"/>
          <w:szCs w:val="24"/>
        </w:rPr>
      </w:pPr>
    </w:p>
    <w:p w14:paraId="000000A0" w14:textId="77777777" w:rsidR="009D470C" w:rsidRDefault="0031656B">
      <w:pPr>
        <w:spacing w:before="120" w:after="120" w:line="240" w:lineRule="auto"/>
        <w:rPr>
          <w:sz w:val="24"/>
          <w:szCs w:val="24"/>
        </w:rPr>
      </w:pPr>
      <w:r>
        <w:rPr>
          <w:sz w:val="24"/>
          <w:szCs w:val="24"/>
        </w:rPr>
        <w:t>THEODORO JÚNI</w:t>
      </w:r>
      <w:r>
        <w:rPr>
          <w:sz w:val="24"/>
          <w:szCs w:val="24"/>
        </w:rPr>
        <w:t xml:space="preserve">OR, Humberto. </w:t>
      </w:r>
      <w:r>
        <w:rPr>
          <w:b/>
          <w:sz w:val="24"/>
          <w:szCs w:val="24"/>
        </w:rPr>
        <w:t xml:space="preserve">Curso de Direito Processual Civil – Teoria geral do direito processual civil, processo de conhecimento e procedimento comum – </w:t>
      </w:r>
      <w:r>
        <w:rPr>
          <w:sz w:val="24"/>
          <w:szCs w:val="24"/>
        </w:rPr>
        <w:t>vol. I. 56. ed. Rio de Janeiro: Forense, 2015.</w:t>
      </w:r>
    </w:p>
    <w:p w14:paraId="000000A1" w14:textId="77777777" w:rsidR="009D470C" w:rsidRDefault="009D470C">
      <w:pPr>
        <w:spacing w:before="120" w:after="120" w:line="240" w:lineRule="auto"/>
        <w:rPr>
          <w:sz w:val="24"/>
          <w:szCs w:val="24"/>
        </w:rPr>
      </w:pPr>
    </w:p>
    <w:p w14:paraId="000000A2" w14:textId="77777777" w:rsidR="009D470C" w:rsidRDefault="0031656B">
      <w:pPr>
        <w:spacing w:before="120" w:after="120" w:line="240" w:lineRule="auto"/>
        <w:rPr>
          <w:sz w:val="24"/>
          <w:szCs w:val="24"/>
        </w:rPr>
      </w:pPr>
      <w:r>
        <w:rPr>
          <w:sz w:val="24"/>
          <w:szCs w:val="24"/>
        </w:rPr>
        <w:t xml:space="preserve">POZZER, Marina Giacomini; Passos, Mike dos. </w:t>
      </w:r>
      <w:r>
        <w:rPr>
          <w:b/>
          <w:sz w:val="24"/>
          <w:szCs w:val="24"/>
        </w:rPr>
        <w:t>Teoria geral da prova no direito Processual Penal brasileiro.</w:t>
      </w:r>
      <w:r>
        <w:rPr>
          <w:sz w:val="24"/>
          <w:szCs w:val="24"/>
        </w:rPr>
        <w:t xml:space="preserve"> Jus.com.br. Disponível em: </w:t>
      </w:r>
      <w:hyperlink r:id="rId13">
        <w:r>
          <w:rPr>
            <w:color w:val="0563C1"/>
            <w:sz w:val="24"/>
            <w:szCs w:val="24"/>
            <w:u w:val="single"/>
          </w:rPr>
          <w:t>https://jus.com.br/artigos/75194/teoria-geral-da-prova</w:t>
        </w:r>
        <w:r>
          <w:rPr>
            <w:color w:val="0563C1"/>
            <w:sz w:val="24"/>
            <w:szCs w:val="24"/>
            <w:u w:val="single"/>
          </w:rPr>
          <w:t>-no-direito-processual-penal-brasileiro</w:t>
        </w:r>
      </w:hyperlink>
      <w:r>
        <w:rPr>
          <w:sz w:val="24"/>
          <w:szCs w:val="24"/>
        </w:rPr>
        <w:t>. Acesso em: 10 de dez. 2023</w:t>
      </w:r>
    </w:p>
    <w:p w14:paraId="000000A3" w14:textId="77777777" w:rsidR="009D470C" w:rsidRDefault="009D470C">
      <w:pPr>
        <w:spacing w:before="120" w:after="120" w:line="360" w:lineRule="auto"/>
        <w:jc w:val="both"/>
        <w:rPr>
          <w:b/>
          <w:sz w:val="24"/>
          <w:szCs w:val="24"/>
        </w:rPr>
      </w:pPr>
    </w:p>
    <w:p w14:paraId="000000A4" w14:textId="77777777" w:rsidR="009D470C" w:rsidRDefault="0031656B">
      <w:pPr>
        <w:rPr>
          <w:sz w:val="24"/>
          <w:szCs w:val="24"/>
        </w:rPr>
      </w:pPr>
      <w:r>
        <w:rPr>
          <w:sz w:val="24"/>
          <w:szCs w:val="24"/>
        </w:rPr>
        <w:t xml:space="preserve">RANGEL, Paulo. </w:t>
      </w:r>
      <w:r>
        <w:rPr>
          <w:b/>
          <w:sz w:val="24"/>
          <w:szCs w:val="24"/>
        </w:rPr>
        <w:t>Direito Processual Penal.</w:t>
      </w:r>
      <w:r>
        <w:rPr>
          <w:sz w:val="24"/>
          <w:szCs w:val="24"/>
        </w:rPr>
        <w:t xml:space="preserve"> 23ª ed., rev. e atual. São Paulo: Atlas, 2015.</w:t>
      </w:r>
    </w:p>
    <w:p w14:paraId="000000A5" w14:textId="77777777" w:rsidR="009D470C" w:rsidRDefault="009D470C">
      <w:pPr>
        <w:spacing w:before="120" w:after="120" w:line="240" w:lineRule="auto"/>
        <w:rPr>
          <w:sz w:val="24"/>
          <w:szCs w:val="24"/>
          <w:highlight w:val="white"/>
        </w:rPr>
      </w:pPr>
    </w:p>
    <w:sectPr w:rsidR="009D470C">
      <w:pgSz w:w="11909" w:h="16834"/>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FBC1A26" w14:textId="77777777" w:rsidR="0031656B" w:rsidRDefault="0031656B">
      <w:pPr>
        <w:spacing w:line="240" w:lineRule="auto"/>
      </w:pPr>
      <w:r>
        <w:separator/>
      </w:r>
    </w:p>
  </w:endnote>
  <w:endnote w:type="continuationSeparator" w:id="0">
    <w:p w14:paraId="2509CAB7" w14:textId="77777777" w:rsidR="0031656B" w:rsidRDefault="0031656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B18203B" w14:textId="77777777" w:rsidR="0031656B" w:rsidRDefault="0031656B">
      <w:pPr>
        <w:spacing w:line="240" w:lineRule="auto"/>
      </w:pPr>
      <w:r>
        <w:separator/>
      </w:r>
    </w:p>
  </w:footnote>
  <w:footnote w:type="continuationSeparator" w:id="0">
    <w:p w14:paraId="0A0FFE52" w14:textId="77777777" w:rsidR="0031656B" w:rsidRDefault="0031656B">
      <w:pPr>
        <w:spacing w:line="240" w:lineRule="auto"/>
      </w:pPr>
      <w:r>
        <w:continuationSeparator/>
      </w:r>
    </w:p>
  </w:footnote>
  <w:footnote w:id="1">
    <w:p w14:paraId="000000A6" w14:textId="77777777" w:rsidR="009D470C" w:rsidRDefault="0031656B">
      <w:pPr>
        <w:pBdr>
          <w:top w:val="nil"/>
          <w:left w:val="nil"/>
          <w:bottom w:val="nil"/>
          <w:right w:val="nil"/>
          <w:between w:val="nil"/>
        </w:pBdr>
        <w:spacing w:line="240" w:lineRule="auto"/>
        <w:jc w:val="both"/>
        <w:rPr>
          <w:rFonts w:ascii="Times New Roman" w:eastAsia="Times New Roman" w:hAnsi="Times New Roman" w:cs="Times New Roman"/>
          <w:color w:val="000000"/>
          <w:sz w:val="20"/>
          <w:szCs w:val="20"/>
        </w:rPr>
      </w:pPr>
      <w:r>
        <w:rPr>
          <w:vertAlign w:val="superscript"/>
        </w:rPr>
        <w:footnoteRef/>
      </w:r>
      <w:r>
        <w:rPr>
          <w:rFonts w:ascii="Times New Roman" w:eastAsia="Times New Roman" w:hAnsi="Times New Roman" w:cs="Times New Roman"/>
          <w:color w:val="000000"/>
          <w:sz w:val="20"/>
          <w:szCs w:val="20"/>
        </w:rPr>
        <w:t xml:space="preserve"> Discente do curso de Direito da Universidade Católica do Salvador.</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D470C"/>
    <w:rsid w:val="0031656B"/>
    <w:rsid w:val="00490B54"/>
    <w:rsid w:val="009D470C"/>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91D53EB-9A92-4B75-9BB1-8C1929EA7C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pt-BR" w:eastAsia="pt-BR"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Ttulo1">
    <w:name w:val="heading 1"/>
    <w:basedOn w:val="Normal"/>
    <w:next w:val="Normal"/>
    <w:pPr>
      <w:keepNext/>
      <w:keepLines/>
      <w:spacing w:before="400" w:after="120"/>
      <w:outlineLvl w:val="0"/>
    </w:pPr>
    <w:rPr>
      <w:sz w:val="40"/>
      <w:szCs w:val="40"/>
    </w:rPr>
  </w:style>
  <w:style w:type="paragraph" w:styleId="Ttulo2">
    <w:name w:val="heading 2"/>
    <w:basedOn w:val="Normal"/>
    <w:next w:val="Normal"/>
    <w:pPr>
      <w:keepNext/>
      <w:keepLines/>
      <w:spacing w:before="360" w:after="120"/>
      <w:outlineLvl w:val="1"/>
    </w:pPr>
    <w:rPr>
      <w:sz w:val="32"/>
      <w:szCs w:val="32"/>
    </w:rPr>
  </w:style>
  <w:style w:type="paragraph" w:styleId="Ttulo3">
    <w:name w:val="heading 3"/>
    <w:basedOn w:val="Normal"/>
    <w:next w:val="Normal"/>
    <w:pPr>
      <w:keepNext/>
      <w:keepLines/>
      <w:spacing w:before="320" w:after="80"/>
      <w:outlineLvl w:val="2"/>
    </w:pPr>
    <w:rPr>
      <w:color w:val="434343"/>
      <w:sz w:val="28"/>
      <w:szCs w:val="28"/>
    </w:rPr>
  </w:style>
  <w:style w:type="paragraph" w:styleId="Ttulo4">
    <w:name w:val="heading 4"/>
    <w:basedOn w:val="Normal"/>
    <w:next w:val="Normal"/>
    <w:pPr>
      <w:keepNext/>
      <w:keepLines/>
      <w:spacing w:before="280" w:after="80"/>
      <w:outlineLvl w:val="3"/>
    </w:pPr>
    <w:rPr>
      <w:color w:val="666666"/>
      <w:sz w:val="24"/>
      <w:szCs w:val="24"/>
    </w:rPr>
  </w:style>
  <w:style w:type="paragraph" w:styleId="Ttulo5">
    <w:name w:val="heading 5"/>
    <w:basedOn w:val="Normal"/>
    <w:next w:val="Normal"/>
    <w:pPr>
      <w:keepNext/>
      <w:keepLines/>
      <w:spacing w:before="240" w:after="80"/>
      <w:outlineLvl w:val="4"/>
    </w:pPr>
    <w:rPr>
      <w:color w:val="666666"/>
    </w:rPr>
  </w:style>
  <w:style w:type="paragraph" w:styleId="Ttulo6">
    <w:name w:val="heading 6"/>
    <w:basedOn w:val="Normal"/>
    <w:next w:val="Normal"/>
    <w:pPr>
      <w:keepNext/>
      <w:keepLines/>
      <w:spacing w:before="240" w:after="80"/>
      <w:outlineLvl w:val="5"/>
    </w:pPr>
    <w:rPr>
      <w:i/>
      <w:color w:val="666666"/>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after="60"/>
    </w:pPr>
    <w:rPr>
      <w:sz w:val="52"/>
      <w:szCs w:val="52"/>
    </w:rPr>
  </w:style>
  <w:style w:type="paragraph" w:styleId="Subttulo">
    <w:name w:val="Subtitle"/>
    <w:basedOn w:val="Normal"/>
    <w:next w:val="Normal"/>
    <w:pPr>
      <w:keepNext/>
      <w:keepLines/>
      <w:spacing w:after="320"/>
    </w:pPr>
    <w:rPr>
      <w:color w:val="666666"/>
      <w:sz w:val="30"/>
      <w:szCs w:val="3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https://www.stj.jus.br/sites/portalp/Inicio" TargetMode="External"/><Relationship Id="rId13" Type="http://schemas.openxmlformats.org/officeDocument/2006/relationships/hyperlink" Target="https://jus.com.br/artigos/75194/teoria-geral-da-prova-no-direito-processual-penal-brasileiro" TargetMode="External"/><Relationship Id="rId3" Type="http://schemas.openxmlformats.org/officeDocument/2006/relationships/settings" Target="settings.xml"/><Relationship Id="rId7" Type="http://schemas.openxmlformats.org/officeDocument/2006/relationships/hyperlink" Target="https://portal.stf.jus.br/" TargetMode="External"/><Relationship Id="rId12" Type="http://schemas.openxmlformats.org/officeDocument/2006/relationships/hyperlink" Target="https://revista.ibraspp.com.br/RBDPP/article/view/506"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https://www.conjur.com.br/2022-jan-14/limite-penal-racismo-estruturalreconhecimento-fotografico-meio-prova"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s://www.conjur.com.br/2014-out03/limite-penal-voce-confia-memoria-infelizmente-processo-penal-dependedela-parte&amp;gt" TargetMode="External"/><Relationship Id="rId4" Type="http://schemas.openxmlformats.org/officeDocument/2006/relationships/webSettings" Target="webSettings.xml"/><Relationship Id="rId9" Type="http://schemas.openxmlformats.org/officeDocument/2006/relationships/hyperlink" Target="http://www.bdr.sintese.com/AnexosPDF/RJ%20364%20%20Doutrina%20Penal.pdf"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zmdoRYxPD6PZ6DIW8rMlY5p0mNA==">CgMxLjAyCGguZ2pkZ3hzOAByITFXeXd2cjJKcGhGWGFtcGVJOGVMVGQ1b0xLT2VDNWNzWg==</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5244</Words>
  <Characters>28318</Characters>
  <Application>Microsoft Office Word</Application>
  <DocSecurity>0</DocSecurity>
  <Lines>235</Lines>
  <Paragraphs>66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33496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Rosemary dos Santos Magalhaes</dc:creator>
  <cp:lastModifiedBy>Rosemary dos Santos Magalhaes</cp:lastModifiedBy>
  <cp:revision>2</cp:revision>
  <dcterms:created xsi:type="dcterms:W3CDTF">2024-04-08T20:53:00Z</dcterms:created>
  <dcterms:modified xsi:type="dcterms:W3CDTF">2024-04-08T20:53:00Z</dcterms:modified>
</cp:coreProperties>
</file>